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2.001424.H18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đủ điều kiện thương nhân xuất khẩu, nhập khẩu LPG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Kinh doanh khí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Thời hạn của Giấy chứng nhận đủ điều kiện là 10 năm kể từ ngày cấp mới.</w:t>
      </w:r>
    </w:p>
    <w:p>
      <w:pPr>
        <w:spacing w:after="0" w:before="0" w:lineRule="auto" w:line="276"/>
        <w:jc w:val="both"/>
      </w:pPr>
      <w:r>
        <w:rPr>
          <w:rFonts w:ascii="Times New Roman" w:hAnsi="Times New Roman" w:cs="Times New Roman" w:eastAsia="Times New Roman"/>
          <w:b w:val="false"/>
          <w:sz w:val="26"/>
        </w:rPr>
        <w:t>- Trong thời hạn 15 ngày làm việc kể từ ngày nhận được hồ sơ đầy đủ và hợp lệ, Ủy ban nhân dân cấp tỉnh có trách nhiệm xem xét, thẩm định và cấp Giấy chứng nhận đủ điều kiện cho thương nhân. Trường hợp từ chối cấp Giấy chứng nhận phải trả lời bằng văn bản và nêu rõ lý do;</w:t>
      </w:r>
    </w:p>
    <w:p>
      <w:pPr>
        <w:spacing w:after="0" w:before="0" w:lineRule="auto" w:line="276"/>
        <w:jc w:val="both"/>
      </w:pPr>
      <w:r>
        <w:rPr>
          <w:rFonts w:ascii="Times New Roman" w:hAnsi="Times New Roman" w:cs="Times New Roman" w:eastAsia="Times New Roman"/>
          <w:b w:val="false"/>
          <w:sz w:val="26"/>
        </w:rPr>
        <w:t>- Thương nhân đáp ứng đầy đủ các điều kiện quy định tại Nghị định số 87/2018/NĐ-CP gửi 01 bộ hồ sơ đề nghị cấp Giấy chứng nhận đủ điều kiện trực tiếp hoặc qua đường bưu điện hoặc qua mạng điện tử đến Ủy ban nhân dân cấp tỉnh;</w:t>
      </w:r>
    </w:p>
    <w:p>
      <w:pPr>
        <w:spacing w:after="0" w:before="0" w:lineRule="auto" w:line="276"/>
        <w:jc w:val="both"/>
      </w:pPr>
      <w:r>
        <w:rPr>
          <w:rFonts w:ascii="Times New Roman" w:hAnsi="Times New Roman" w:cs="Times New Roman" w:eastAsia="Times New Roman"/>
          <w:b w:val="false"/>
          <w:sz w:val="26"/>
        </w:rPr>
        <w:t>- Trường hợp thương nhân chưa đủ hồ sơ hợp lệ, cơ quan nhà nước có thẩm quyền có văn bản yêu cầu thương nhân bổ sung;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pháp luật về phí, lệ phí hiện hành.)</w:t>
            </w:r>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pháp luật về phí, lệ phí hiện hành.)</w:t>
            </w:r>
          </w:p>
        </w:tc>
        <w:tc>
          <w:p/>
          <w:p>
            <w:pPr>
              <w:spacing w:after="0" w:before="0" w:lineRule="auto" w:line="276"/>
              <w:jc w:val="left"/>
            </w:pPr>
            <w:r>
              <w:rPr>
                <w:rFonts w:ascii="Times New Roman" w:hAnsi="Times New Roman" w:cs="Times New Roman" w:eastAsia="Times New Roman"/>
                <w:b w:val="false"/>
                <w:sz w:val="26"/>
              </w:rPr>
              <w:t>15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pháp luật về phí, lệ phí hiện hành.)</w:t>
            </w:r>
          </w:p>
          <w:p>
            <w:pPr>
              <w:spacing w:after="0" w:before="0" w:lineRule="auto" w:line="276"/>
              <w:jc w:val="left"/>
            </w:pPr>
            <w:r>
              <w:rPr>
                <w:rFonts w:ascii="Times New Roman" w:hAnsi="Times New Roman" w:cs="Times New Roman" w:eastAsia="Times New Roman"/>
                <w:b w:val="false"/>
                <w:sz w:val="26"/>
              </w:rPr>
              <w:t xml:space="preserve">Lệ phí :  </w:t>
              <w:t xml:space="preserve"> (Theo quy định của pháp luật về phí, lệ phí hiện hành.)</w:t>
            </w:r>
          </w:p>
        </w:tc>
        <w:tc>
          <w:p/>
          <w:p>
            <w:pPr>
              <w:spacing w:after="0" w:before="0" w:lineRule="auto" w:line="276"/>
              <w:jc w:val="left"/>
            </w:pPr>
            <w:r>
              <w:rPr>
                <w:rFonts w:ascii="Times New Roman" w:hAnsi="Times New Roman" w:cs="Times New Roman" w:eastAsia="Times New Roman"/>
                <w:b w:val="false"/>
                <w:sz w:val="26"/>
              </w:rPr>
              <w:t>15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pháp luật về phí, lệ phí hiện hành.)</w:t>
            </w:r>
          </w:p>
          <w:p>
            <w:pPr>
              <w:spacing w:after="0" w:before="0" w:lineRule="auto" w:line="276"/>
              <w:jc w:val="left"/>
            </w:pPr>
            <w:r>
              <w:rPr>
                <w:rFonts w:ascii="Times New Roman" w:hAnsi="Times New Roman" w:cs="Times New Roman" w:eastAsia="Times New Roman"/>
                <w:b w:val="false"/>
                <w:sz w:val="26"/>
              </w:rPr>
              <w:t xml:space="preserve">Lệ phí :  </w:t>
              <w:t xml:space="preserve"> (Theo quy định của pháp luật về phí, lệ phí hiện hành.)</w:t>
            </w:r>
          </w:p>
        </w:tc>
        <w:tc>
          <w:p/>
          <w:p>
            <w:pPr>
              <w:spacing w:after="0" w:before="0" w:lineRule="auto" w:line="276"/>
              <w:jc w:val="left"/>
            </w:pPr>
            <w:r>
              <w:rPr>
                <w:rFonts w:ascii="Times New Roman" w:hAnsi="Times New Roman" w:cs="Times New Roman" w:eastAsia="Times New Roman"/>
                <w:b w:val="false"/>
                <w:sz w:val="26"/>
              </w:rPr>
              <w:t>15 ngày làm việc kể từ ngày nhận đủ hồ sơ hợp lệ.</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đề nghị cấp Giấy chứng nhận đủ điều kiện thương nhân xuất khẩu, nhập khẩu LPG/LNG/CNG theo Mẫu số 01 tại Phụ lục kèm theo Nghị định số 87/2018/NĐ-CP.</w:t>
            </w:r>
          </w:p>
        </w:tc>
        <w:tc>
          <w:p/>
          <w:p>
            <w:pPr>
              <w:spacing w:after="0" w:before="0" w:lineRule="auto" w:line="276"/>
              <w:jc w:val="left"/>
            </w:pPr>
            <w:r>
              <w:rPr>
                <w:rFonts w:ascii="Times New Roman" w:hAnsi="Times New Roman" w:cs="Times New Roman" w:eastAsia="Times New Roman"/>
                <w:b w:val="false"/>
                <w:sz w:val="26"/>
              </w:rPr>
              <w:t>Mauso01.docx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Giấy chứng nhận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Tài liệu chứng minh có cầu cảng hoặc hợp đồng thuê cầu cảng thuộc hệ thống cầu cảng Việt Nam được cấp có thẩm quyền cho phép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Bản sao Giấy chứng nhận kết quả kiểm định kỹ thuật an toàn lao động bồn chứa.</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5. Tài liệu chứng minh đáp ứng các điều kiện về phòng cháy và chữa cháy.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 Đối với thương nhân xuất khẩu, nhập khẩu kinh doanh LPG chai ngoài các giấy tờ quy định tại khoản 2, 3, 4, 5 Điều 37 Nghị định số 87/2018/NĐ-CP  phải bổ sung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a) Bản sao Giấy chứng nhận kiểm định chai LPG còn hiệu lực;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 Bản sao Giấy chứng nhận hợp quy đối với chai LPG.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7. Đối với thương nhân xuất khẩu, nhập khẩu khí qua đường ống ngoài các giấy tờ quy định tại khoản 2, 3, 4, 5 Điều 37 Nghị định số 87/2018/NĐ-CP phải bổ sung tài liệu chứng minh có đường ống vận chuyển khí hoặc hợp đồng thuê đường ống vận chuyển khí; bản sao Giấy chứng nhận kiểm định đường ống còn hiệu lực và tài liệu chứng minh có trạm cấp khí đáp ứng các quy định về an toàn, phòng cháy và chữa cháy theo quy định tại Nghị định số 87/2018/NĐ-CP và pháp luật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 Sở Công Thương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THƯƠNG NHÂN XUẤT KHẨU, NHẬP KHẨU LPG/LNG/CNG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87/2018/NĐ-CP</w:t>
            </w:r>
          </w:p>
        </w:tc>
        <w:tc>
          <w:p/>
          <w:p>
            <w:pPr>
              <w:spacing w:after="0" w:before="0" w:lineRule="auto" w:line="276"/>
              <w:jc w:val="left"/>
            </w:pPr>
            <w:r>
              <w:rPr>
                <w:rFonts w:ascii="Times New Roman" w:hAnsi="Times New Roman" w:cs="Times New Roman" w:eastAsia="Times New Roman"/>
                <w:b w:val="false"/>
                <w:sz w:val="26"/>
              </w:rPr>
              <w:t>Nghị định 87/2018/NĐ-CP</w:t>
            </w:r>
          </w:p>
        </w:tc>
        <w:tc>
          <w:p/>
          <w:p>
            <w:pPr>
              <w:spacing w:after="0" w:before="0" w:lineRule="auto" w:line="276"/>
              <w:jc w:val="left"/>
            </w:pPr>
            <w:r>
              <w:rPr>
                <w:rFonts w:ascii="Times New Roman" w:hAnsi="Times New Roman" w:cs="Times New Roman" w:eastAsia="Times New Roman"/>
                <w:b w:val="false"/>
                <w:sz w:val="26"/>
              </w:rPr>
              <w:t>15-06-2018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17/2020/NĐ-CP</w:t>
            </w:r>
          </w:p>
        </w:tc>
        <w:tc>
          <w:p/>
          <w:p>
            <w:pPr>
              <w:spacing w:after="0" w:before="0" w:lineRule="auto" w:line="276"/>
              <w:jc w:val="left"/>
            </w:pPr>
            <w:r>
              <w:rPr>
                <w:rFonts w:ascii="Times New Roman" w:hAnsi="Times New Roman" w:cs="Times New Roman" w:eastAsia="Times New Roman"/>
                <w:b w:val="false"/>
                <w:sz w:val="26"/>
              </w:rPr>
              <w:t>Nghị định 17/2020/NĐ-CP</w:t>
            </w:r>
          </w:p>
        </w:tc>
        <w:tc>
          <w:p/>
          <w:p>
            <w:pPr>
              <w:spacing w:after="0" w:before="0" w:lineRule="auto" w:line="276"/>
              <w:jc w:val="left"/>
            </w:pPr>
            <w:r>
              <w:rPr>
                <w:rFonts w:ascii="Times New Roman" w:hAnsi="Times New Roman" w:cs="Times New Roman" w:eastAsia="Times New Roman"/>
                <w:b w:val="false"/>
                <w:sz w:val="26"/>
              </w:rPr>
              <w:t>05-02-2020</w:t>
            </w:r>
          </w:p>
        </w:tc>
        <w:tc>
          <w:p/>
        </w:tc>
      </w:tr>
      <w:tr>
        <w:tc>
          <w:p/>
          <w:p>
            <w:pPr>
              <w:spacing w:after="0" w:before="0" w:lineRule="auto" w:line="276"/>
              <w:jc w:val="left"/>
            </w:pPr>
            <w:r>
              <w:rPr>
                <w:rFonts w:ascii="Times New Roman" w:hAnsi="Times New Roman" w:cs="Times New Roman" w:eastAsia="Times New Roman"/>
                <w:b w:val="false"/>
                <w:sz w:val="26"/>
              </w:rPr>
              <w:t>nghị định 146/2025</w:t>
            </w:r>
          </w:p>
        </w:tc>
        <w:tc>
          <w:p/>
          <w:p>
            <w:pPr>
              <w:spacing w:after="0" w:before="0" w:lineRule="auto" w:line="276"/>
              <w:jc w:val="left"/>
            </w:pPr>
            <w:r>
              <w:rPr>
                <w:rFonts w:ascii="Times New Roman" w:hAnsi="Times New Roman" w:cs="Times New Roman" w:eastAsia="Times New Roman"/>
                <w:b w:val="false"/>
                <w:sz w:val="26"/>
              </w:rPr>
              <w:t>Nghị định số 146/2025/NĐ-CP</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Điều kiện đối với thương nhân xuất khẩu, nhập khẩu khí gồm:
a) Là doanh nghiệp được thành lập theo quy định của pháp luật;
b) Có cầu cảng hoặc có hợp đồng thuê tối thiểu 05 năm cầu cảng thuộc hệ thống cảng Việt Nam đã được cấp có thẩm quyền cho phép sử dụng;
c) Có bồn chứa khí hoặc hợp đồng thuê bồn chứa khí đáp ứng các quy định về an toàn;
d) Đáp ứng các điều kiện về phòng cháy và chữa cháy theo quy định của pháp luật;
đ) Có chai LPG hoặc hợp đồng thuê chai LPG đáp ứng đủ điều kiện lưu thông trên thị trường đối với thương nhân xuất khẩu, nhập khẩu LPG kinh doanh LPG chai.
2. Đối với thương nhân xuất khẩu, nhập khẩu kinh doanh khí qua đường ống ngoài đáp ứng các điều kiện quy định tại điểm a, b và c khoản 1 Điều 6 Nghị định 87/2018/NĐ-CP còn phải có trạm cấp khí đáp ứng các điều kiện về an toàn theo quy định tại Chương IV Nghị định 87/2018/NĐ-CP.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Kinh doanh khí</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2025-12-18T08:54:48Z</dcterms:created>
  <dc:creator>Apache POI</dc:creator>
</cp:coreProperties>
</file>