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2.000229.000.00.00.H18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huấn luyện kỹ thuật an toàn vật liệu nổ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Vật liệu nổ công nghiệp, tiền chất thuốc nổ</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Cấp Giấy chứng nhận huấn luyện kỹ thuật an toàn vật liệu nổ công nghiệp thuộc thẩm quyền giải quyết của Sở Công Thương</w:t>
      </w:r>
    </w:p>
    <w:p>
      <w:pPr>
        <w:spacing w:after="0" w:before="0" w:lineRule="auto" w:line="276"/>
        <w:jc w:val="both"/>
      </w:pPr>
      <w:r>
        <w:rPr>
          <w:rFonts w:ascii="Times New Roman" w:hAnsi="Times New Roman" w:cs="Times New Roman" w:eastAsia="Times New Roman"/>
          <w:b w:val="false"/>
          <w:sz w:val="26"/>
        </w:rPr>
        <w:t>Tổ chức, doanh nghiệp - Nộp trực tiếp hoặc gửi hồ sơ qua đường bưu điện đến Bộ phận Tiếp nhận và trả kết quả Sở Công Thương tỉnh Điện Biên (Số 821, Tổ dân phố 3, phường Tân Thanh, thành phố Điện Biên Phủ, tỉnh Điện Biên) 
- Nộp trực tuyến trên cổng dịch vụ công của tỉnh tại địa chỉ: 
https://dichvucong.dienbien.gov.vn/
- Đối với trường hợp huấn luyện, kiểm tra, cấp giấy chứng nhận huấn luyện kỹ thuật an toàn vật liệu nổ công nghiệp cho người quản lý
+ Trong thời hạn 05 ngày làm việc, kể từ ngày nhận được hồ sơ đầy đủ, hợp lệ, Sở Công Thương phải thông báo kế hoạch huấn luyện, kiểm tra cho tổ chức, doanh nghiệp đề nghị; trường hợp hồ sơ không đầy đủ, hợp lệ, trong thời hạn 02 ngày làm việc kể từ ngày nhận được hồ sơ phải trả lời bằng văn bản và nêu rõ lý do;
+ Trong thời hạn 10 ngày làm việc, kể từ ngày thông báo kế hoạch huấn luyện, kiểm tra, Sở Công Thương phải tổ chức huấn luyện, kiểm tra.
+ Trong thời hạn 05 ngày làm việc kể từ ngày kết thúc kiểm tra, Sở Công Thương thực hiện cấp giấy chứng nhận huấn luyện kỹ thuật an toàn vật liệu nổ công nghiệp.
- Đối với trường hợp kiểm tra, cấp giấy chứng nhận huấn luyện kỹ thuật an toàn vật liệu nổ công nghiệp cho người liên quan đến sản xuất, kinh doanh, sử dụng vật liệu nổ công nghiệp, trừ người quản lý
+ Trong thời hạn 05 ngày làm việc, kể từ ngày nhận được hồ sơ đầy đủ, hợp lệ, Sở Công Thương phải thông báo kế hoạch kiểm tra cho tổ chức, doanh nghiệp đề nghị; trường hợp hồ sơ không đầy đủ, hợp lệ, trong thời hạn 02 ngày làm việc, kể từ ngày nhận được hồ sơ phải trả lời bằng văn bản và nêu rõ lý do;
+ Trong thời hạn 10 ngày làm việc, kể từ ngày thông báo kế hoạch kiểm tra, Sở Công Thương phải tổ chức kiểm tra;
+ Trong thời hạn 05 ngày làm việc kể từ ngày kết thúc kiểm tra, Sở Công Thương thực hiện cấp giấy chứng nhận huấn luyện kỹ thuật an toàn vật liệu nổ công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trực tiếp hoặc gửi hồ sơ qua đường bưu điện đến Bộ phận Tiếp nhận và trả kết quả Sở Công Thương tỉnh Điện Biên (Số 821, Tổ dân phố 3, phường Tân Thanh, thành phố Điện Biên Phủ, tỉnh Điện Biên) 
- Nộp trực tuyến trên cổng dịch vụ công của tỉnh tại địa chỉ: 
https://dichvucong.dienbien.gov.vn/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trực tiếp hoặc gửi hồ sơ qua đường bưu điện đến Bộ phận Tiếp nhận và trả kết quả Sở Công Thương tỉnh Điện Biên (Số 821, Tổ dân phố 3, phường Tân Thanh, thành phố Điện Biên Phủ, tỉnh Điện Biên) 
- Nộp trực tuyến trên cổng dịch vụ công của tỉnh tại địa chỉ: 
https://dichvucong.dienbien.gov.vn/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trực tiếp hoặc gửi hồ sơ qua đường bưu điện đến Bộ phận Tiếp nhận và trả kết quả Sở Công Thương tỉnh Điện Biên (Số 821, Tổ dân phố 3, phường Tân Thanh, thành phố Điện Biên Phủ, tỉnh Điện Biên) 
- Nộp trực tuyến trên cổng dịch vụ công của tỉnh tại địa chỉ: 
https://dichvucong.dienbien.gov.vn/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trường hợp huấn luyện, kiểm tra, cấp giấy chứng nhận huấn luyện kỹ thuật an toàn vật liệu nổ công nghiệp cho người quản lý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Danh sách người đề nghị kiểm tra, cấp giấy chứng nhận huấn luyện theo Mẫu số 02 tại Phụ lục ban hành kèm theo Nghị định số 181/2024/NĐ-CP;</w:t>
            </w:r>
          </w:p>
        </w:tc>
        <w:tc>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- 02  ảnh (3×4 cm) của người trong danh sách đề nghị kiểm tra, cấp giấy chứng nhận huấn luyện;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bằng cấp chuyên môn chứng minh việc đáp ứng các quy định tại khoản 1 Điều 4 Nghị định số 181/2024/NĐ-CP;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nghị theo Mẫu số 01 tại Phụ lục ban hành kèm theo Nghị định số 181/2024/NĐ-CP;</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kiểm tra, cấp giấy chứng nhận huấn luyện kỹ thuật an toàn vật liệu nổ công nghiệp cho người liên quan đến sản xuất, kinh doanh, sử dụng vật liệu nổ công nghiệp, trừ người quản lý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Kế hoạch huấn luyện; tài liệu huấn luyện chi tiết phù hợp cho từng đối tượng theo quy định tại điểm a khoản 2 Điều 8 Nghị định số 181/2024/NĐ-CP;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bằng cấp chuyên môn chứng minh việc đáp ứng các quy định tại khoản 2, khoản 3 Điều 4, khoản 3 Điều 8 Nghị định số 181/2024/NĐ-CP;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người đề nghị kiểm tra, cấp giấy chứng nhận huấn luyện theo Mẫu số 02 tại Phụ lục ban hành kèm theo Nghị định số 181/2024/NĐ-CP;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huấn luyện kỹ thuật an toàn vật liệu nổ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14/2017/QH14</w:t>
            </w:r>
          </w:p>
        </w:tc>
        <w:tc>
          <w:p/>
          <w:p>
            <w:pPr>
              <w:spacing w:after="0" w:before="0" w:lineRule="auto" w:line="276"/>
              <w:jc w:val="left"/>
            </w:pPr>
            <w:r>
              <w:rPr>
                <w:rFonts w:ascii="Times New Roman" w:hAnsi="Times New Roman" w:cs="Times New Roman" w:eastAsia="Times New Roman"/>
                <w:b w:val="false"/>
                <w:sz w:val="26"/>
              </w:rPr>
              <w:t>Luật 14/2017/QH14</w:t>
            </w:r>
          </w:p>
        </w:tc>
        <w:tc>
          <w:p/>
          <w:p>
            <w:pPr>
              <w:spacing w:after="0" w:before="0" w:lineRule="auto" w:line="276"/>
              <w:jc w:val="left"/>
            </w:pPr>
            <w:r>
              <w:rPr>
                <w:rFonts w:ascii="Times New Roman" w:hAnsi="Times New Roman" w:cs="Times New Roman" w:eastAsia="Times New Roman"/>
                <w:b w:val="false"/>
                <w:sz w:val="26"/>
              </w:rPr>
              <w:t>20-06-2017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71/2018/NĐ-CP</w:t>
            </w:r>
          </w:p>
        </w:tc>
        <w:tc>
          <w:p/>
          <w:p>
            <w:pPr>
              <w:spacing w:after="0" w:before="0" w:lineRule="auto" w:line="276"/>
              <w:jc w:val="left"/>
            </w:pPr>
            <w:r>
              <w:rPr>
                <w:rFonts w:ascii="Times New Roman" w:hAnsi="Times New Roman" w:cs="Times New Roman" w:eastAsia="Times New Roman"/>
                <w:b w:val="false"/>
                <w:sz w:val="26"/>
              </w:rPr>
              <w:t>Nghị định 71/2018/NĐ-CP</w:t>
            </w:r>
          </w:p>
        </w:tc>
        <w:tc>
          <w:p/>
          <w:p>
            <w:pPr>
              <w:spacing w:after="0" w:before="0" w:lineRule="auto" w:line="276"/>
              <w:jc w:val="left"/>
            </w:pPr>
            <w:r>
              <w:rPr>
                <w:rFonts w:ascii="Times New Roman" w:hAnsi="Times New Roman" w:cs="Times New Roman" w:eastAsia="Times New Roman"/>
                <w:b w:val="false"/>
                <w:sz w:val="26"/>
              </w:rPr>
              <w:t>15-05-2018</w:t>
            </w:r>
          </w:p>
        </w:tc>
        <w:tc>
          <w:p/>
        </w:tc>
      </w:tr>
      <w:tr>
        <w:tc>
          <w:p/>
          <w:p>
            <w:pPr>
              <w:spacing w:after="0" w:before="0" w:lineRule="auto" w:line="276"/>
              <w:jc w:val="left"/>
            </w:pPr>
            <w:r>
              <w:rPr>
                <w:rFonts w:ascii="Times New Roman" w:hAnsi="Times New Roman" w:cs="Times New Roman" w:eastAsia="Times New Roman"/>
                <w:b w:val="false"/>
                <w:sz w:val="26"/>
              </w:rPr>
              <w:t>13/2018/TT-BCT</w:t>
            </w:r>
          </w:p>
        </w:tc>
        <w:tc>
          <w:p/>
          <w:p>
            <w:pPr>
              <w:spacing w:after="0" w:before="0" w:lineRule="auto" w:line="276"/>
              <w:jc w:val="left"/>
            </w:pPr>
            <w:r>
              <w:rPr>
                <w:rFonts w:ascii="Times New Roman" w:hAnsi="Times New Roman" w:cs="Times New Roman" w:eastAsia="Times New Roman"/>
                <w:b w:val="false"/>
                <w:sz w:val="26"/>
              </w:rPr>
              <w:t>Thông tư 13/2018/TT-BCT</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42/2024/QH15</w:t>
            </w:r>
          </w:p>
        </w:tc>
        <w:tc>
          <w:p/>
          <w:p>
            <w:pPr>
              <w:spacing w:after="0" w:before="0" w:lineRule="auto" w:line="276"/>
              <w:jc w:val="left"/>
            </w:pPr>
            <w:r>
              <w:rPr>
                <w:rFonts w:ascii="Times New Roman" w:hAnsi="Times New Roman" w:cs="Times New Roman" w:eastAsia="Times New Roman"/>
                <w:b w:val="false"/>
                <w:sz w:val="26"/>
              </w:rPr>
              <w:t>Luật Quản lý, sử dụng vũ khí, vật liệu nổ và công cụ hỗ trợ</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Nghị định số 181/2024/NĐ-CP</w:t>
            </w:r>
          </w:p>
        </w:tc>
        <w:tc>
          <w:p/>
          <w:p>
            <w:pPr>
              <w:spacing w:after="0" w:before="0" w:lineRule="auto" w:line="276"/>
              <w:jc w:val="left"/>
            </w:pPr>
            <w:r>
              <w:rPr>
                <w:rFonts w:ascii="Times New Roman" w:hAnsi="Times New Roman" w:cs="Times New Roman" w:eastAsia="Times New Roman"/>
                <w:b w:val="false"/>
                <w:sz w:val="26"/>
              </w:rPr>
              <w:t>Nghị định số 181/2024/NĐ-CP</w:t>
            </w:r>
          </w:p>
        </w:tc>
        <w:tc>
          <w:p/>
          <w:p>
            <w:pPr>
              <w:spacing w:after="0" w:before="0" w:lineRule="auto" w:line="276"/>
              <w:jc w:val="left"/>
            </w:pPr>
            <w:r>
              <w:rPr>
                <w:rFonts w:ascii="Times New Roman" w:hAnsi="Times New Roman" w:cs="Times New Roman" w:eastAsia="Times New Roman"/>
                <w:b w:val="false"/>
                <w:sz w:val="26"/>
              </w:rPr>
              <w:t>31-12-2024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quản lý của tổ chức, doanh nghiệp sản xuất, sử dụng vật liệu nổ công nghiệp phải có trình độ từ đại học trở lên thuộc một trong các ngành kỹ thuật: Hoá chất; vũ khí; vật liệu nổ; chỉ huy kỹ thuật công binh; khai thác mỏ; kỹ thuật mỏ; địa chất; xây dựng công trình; giao thông; thủy lợi; địa vật lý; dầu khí;
- Người quản lý của doanh nghiệp kinh doanh vật liệu nổ công nghiệp phải có trình độ đại học trở lên;
- Người làm công tác phân tích, thử nghiệm vật liệu nổ công nghiệp phải có trình độ trung cấp trở lên thuộc một trong các ngành kỹ thuật: Hoá chất, vũ khí, vật liệu nổ, chỉ huy kỹ thuật công binh, khai thác mỏ, kỹ thuật mỏ, địa chất hoặc khoan nổ mìn;
- Chỉ huy nổ mìn phải có trình độ từ trung cấp trở lên thuộc chuyên ngành kỹ thuật, cụ thể như sau:
+ Đối với chuyên ngành quy định tại khoản 1 Điều 4 Nghị định số 181/2024/NĐ-CP hoặc chuyên ngành khoan nổ mìn, Chỉ huy nổ mìn phải có thời gian trực tiếp sử dụng vật liệu nổ công nghiệp tối thiểu 01 năm đối với người có trình độ đại học trở lên và tối thiểu 02 năm đối với người có trình độ trung cấp, cao đẳng;
+ Đối với chuyên ngành kỹ thuật khác không thuộc các chuyên ngành quy định tại điểm a khoản 4 Điều 4 Nghị định số 181/2024/NĐ-CP, Chỉ huy nổ mìn phải có thời gian trực tiếp sử dụng vật liệu nổ công nghiệp tối thiểu 02 năm đối với người có trình độ đại học trở lên và tối thiểu 03 năm đối với người có trình độ trung cấp, cao đẳng.
- Thợ nổ mìn phải có trình độ từ sơ cấp trở lên thuộc chuyên ngành quy định tại điểm a khoản 4 Điều 4 Nghị định số 181/2024/NĐ-CP hoặc từ trung cấp trở lên thuộc chuyên ngành quy định tại điểm b khoản 4 Điều 4 Nghị định số 181/2024/NĐ-CP và phải có thời gian tối thiểu 06 tháng làm công việc phục vụ nổ mìn;
- Người huấn luyện kỹ thuật an toàn vật liệu nổ công nghiệp phải có trình độ đại học trở lên thuộc một trong các chuyên ngành quy định tại khoản 1 Điều 4 Nghị định này và có kinh nghiệm thực tế làm việc về kỹ thuật, an toàn vật liệu nổ công nghiệp từ 05 năm liên tục liền kề trở lên hoặc làm quản lý nhà nước trong lĩnh vực vật liệu nổ công nghiệp từ 03 năm liên tục liền kề trở lên.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2025-11-10T14:14:46Z</dcterms:created>
  <dc:creator>Apache POI</dc:creator>
</cp:coreProperties>
</file>