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1.014332.H18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mẹ hoặc người cha của trẻ hoặc người được cha, mẹ trẻ ủy quyền trực tiếp nộp hồ sơ đề nghị cấp lại giấy chứng sinh theo quy định tại khoản 2 Điều 4 Thông tư số 22/2025/TT-BYT ngày 28/6/2025 của Bộ trưởng Bộ Y tế cho cơ sở khám bệnh, chữa bệnh nơi đã cấp giấy chứng sinh cho trẻ lần đầu và xuất trình giấy tờ tùy thân hợp lệ có số định danh cá nhân hoặc hộ chiếu của người mẹ để đối chiếu. Trường hợp người đề nghị không phải là người mẹ đã sinh ra trẻ thì phải xuất trình giấy ủy quyền hợp pháp.</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được hồ sơ hợp lệ, cơ sở khám bệnh, chữa bệnh có trách nhiệm cấp lại giấy chứng sinh cho trẻ. Trường hợp không xác minh được thông tin của người mẹ hoặc thông tin không chính xác thì không cấp lại giấy chứng sinh.
Mã số giấy chứng sinh cấp lại phải sử dụng mã số của giấy chứng sinh cũ đã cấp. Giấy chứng sinh cấp lại được lưu tại cơ sở khám bệnh, chữa bệnh cùng hồ sơ đề nghị cấp lại giấy chứng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giấy tờ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lại Giấy chứng sinh theo mẫu quy định tại Phụ lục III  ban hành kèm theo Thông tư số 22/2025/TT-BYT ngày 28/6/2025 của Bộ trưởng Bộ Y tế;</w:t>
            </w:r>
          </w:p>
        </w:tc>
        <w:tc>
          <w:p/>
          <w:p>
            <w:pPr>
              <w:spacing w:after="0" w:before="0" w:lineRule="auto" w:line="276"/>
              <w:jc w:val="left"/>
            </w:pPr>
            <w:r>
              <w:rPr>
                <w:rFonts w:ascii="Times New Roman" w:hAnsi="Times New Roman" w:cs="Times New Roman" w:eastAsia="Times New Roman"/>
                <w:b w:val="false"/>
                <w:sz w:val="26"/>
              </w:rPr>
              <w:t>PHLCIIIGCS.docx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 đã cấp đối với trường hợp bị nhầm lẫn, thiếu thông tin,  rách, nát; (trừ trường hợp đề nghị cấp lại do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liên quan đến nội dung nhầm lẫn hoặc còn thiếu đối với trường hợp cấp lại do nhầm lẫn, thiếu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tùy thân hợp lệ có số định danh cá  nhân hoặc hộ chiếu của người mẹ để đối chiếu. Trường hợp người đề nghị không phải là người mẹ đã sinh ra trẻ thì phải xuất trình giấy ủy quyền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sinh theo mẫu Phụ lục I kèm theo Thông tư số 22/2025/TT-BYT ngày 28/6/2025 của Bộ trưởng Bộ Y tế (bản giấy hoặc bản điện tử có ký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16-11-2015</w:t>
            </w:r>
          </w:p>
        </w:tc>
        <w:tc>
          <w:p/>
        </w:tc>
      </w:tr>
      <w:tr>
        <w:tc>
          <w:p/>
          <w:p>
            <w:pPr>
              <w:spacing w:after="0" w:before="0" w:lineRule="auto" w:line="276"/>
              <w:jc w:val="left"/>
            </w:pPr>
            <w:r>
              <w:rPr>
                <w:rFonts w:ascii="Times New Roman" w:hAnsi="Times New Roman" w:cs="Times New Roman" w:eastAsia="Times New Roman"/>
                <w:b w:val="false"/>
                <w:sz w:val="26"/>
              </w:rPr>
              <w:t>63/2024/NĐ-CP</w:t>
            </w:r>
          </w:p>
        </w:tc>
        <w:tc>
          <w:p/>
          <w:p>
            <w:pPr>
              <w:spacing w:after="0" w:before="0" w:lineRule="auto" w:line="276"/>
              <w:jc w:val="left"/>
            </w:pPr>
            <w:r>
              <w:rPr>
                <w:rFonts w:ascii="Times New Roman" w:hAnsi="Times New Roman" w:cs="Times New Roman" w:eastAsia="Times New Roman"/>
                <w:b w:val="false"/>
                <w:sz w:val="26"/>
              </w:rPr>
              <w:t>Nghị định quy định việc thực hiện liên thông điện tử 02 nhóm thủ tục hành chính: Đăng ký khai sinh, đăng ký thường trú, cấp thẻ bảo hiểm y tế cho trẻ em dưới 6 tuổi; đăng ký khai tử, xóa đăng ký thường trú, giải quyết mai táng phí, tử tuất</w:t>
            </w:r>
          </w:p>
        </w:tc>
        <w:tc>
          <w:p/>
          <w:p>
            <w:pPr>
              <w:spacing w:after="0" w:before="0" w:lineRule="auto" w:line="276"/>
              <w:jc w:val="left"/>
            </w:pPr>
            <w:r>
              <w:rPr>
                <w:rFonts w:ascii="Times New Roman" w:hAnsi="Times New Roman" w:cs="Times New Roman" w:eastAsia="Times New Roman"/>
                <w:b w:val="false"/>
                <w:sz w:val="26"/>
              </w:rPr>
              <w:t>10-06-2024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22/2025/TT-BYT</w:t>
            </w:r>
          </w:p>
        </w:tc>
        <w:tc>
          <w:p/>
          <w:p>
            <w:pPr>
              <w:spacing w:after="0" w:before="0" w:lineRule="auto" w:line="276"/>
              <w:jc w:val="left"/>
            </w:pPr>
            <w:r>
              <w:rPr>
                <w:rFonts w:ascii="Times New Roman" w:hAnsi="Times New Roman" w:cs="Times New Roman" w:eastAsia="Times New Roman"/>
                <w:b w:val="false"/>
                <w:sz w:val="26"/>
              </w:rPr>
              <w:t>Thông tư số 22/2025/TT-BYT ngày 28/06/2025 QUY ĐỊNH CẤP VÀ SỬ DỤNG GIẤY CHỨNG SINH</w:t>
            </w:r>
          </w:p>
        </w:tc>
        <w:tc>
          <w:p/>
          <w:p>
            <w:pPr>
              <w:spacing w:after="0" w:before="0" w:lineRule="auto" w:line="276"/>
              <w:jc w:val="left"/>
            </w:pPr>
            <w:r>
              <w:rPr>
                <w:rFonts w:ascii="Times New Roman" w:hAnsi="Times New Roman" w:cs="Times New Roman" w:eastAsia="Times New Roman"/>
                <w:b w:val="false"/>
                <w:sz w:val="26"/>
              </w:rPr>
              <w:t>28-06-2025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được cấp lại giấy chứng sinh: giấy chứng sinh đã được cấp có nhầm lẫn, thiếu thông tin; giấy chứng sinh bị mất, rách, nát.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2025-12-13T08:43:33Z</dcterms:created>
  <dc:creator>Apache POI</dc:creator>
</cp:coreProperties>
</file>