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đủ điều kiện bị mất, sai sót, hư hỏng hoặc có thay đổi về thông tin đăng ký thành lập của tổ chức, cá nhân, tổ chức, cá nhân lập 01 bộ hồ sơ đề nghị cấp lại Giấy chứng nhận và gửi qua đường bưu điện hoặc gửi trực tiếp hoặc qua hệ thống dịch vụ công trực tuyến; đến Bộ phận tiếp nhận và trả kết quả thuộc Văn phòng Sở Công Thương tỉnh Điện Biên (Số 821, Tổ dân phố 7, phường Tân Thanh, thành phố Điện Biên Phủ, tỉnh Điện Biên) nơi tổ chức, cá nhân đặt cơ sở sản xuất, kinh doanh;</w:t>
      </w:r>
    </w:p>
    <w:p>
      <w:pPr>
        <w:spacing w:after="0" w:before="0" w:lineRule="auto" w:line="276"/>
        <w:jc w:val="both"/>
      </w:pPr>
      <w:r>
        <w:rPr>
          <w:rFonts w:ascii="Times New Roman" w:hAnsi="Times New Roman" w:cs="Times New Roman" w:eastAsia="Times New Roman"/>
          <w:b w:val="false"/>
          <w:sz w:val="26"/>
        </w:rPr>
        <w:t xml:space="preserve">- Trong thời hạn 05 ngày làm việc kể từ ngày nhận đủ hồ sơ hợp lệ, cơ quan cấp Giấy chứng nhận kiểm tra, cấp lại Giấy chứng nhận đủ điều kiện cho tổ chức, cá nhân đồng thời gửi 01 bản cho Sở Công Thương nơi tổ chức, cá nhân đăng ký trụ sở chính. </w:t>
      </w:r>
    </w:p>
    <w:p>
      <w:pPr>
        <w:spacing w:after="0" w:before="0" w:lineRule="auto" w:line="276"/>
        <w:jc w:val="both"/>
      </w:pPr>
      <w:r>
        <w:rPr>
          <w:rFonts w:ascii="Times New Roman" w:hAnsi="Times New Roman" w:cs="Times New Roman" w:eastAsia="Times New Roman"/>
          <w:b w:val="false"/>
          <w:sz w:val="26"/>
        </w:rPr>
        <w:t>- Trường hợp không cấp lại Giấy chứng nhận, Sở Công Thương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t xml:space="preserve"> (Quy định tại Thông tư số 08/2018/TT-BTC của Bộ Tài chính Quy định mức thu, chế độ thu, nộp, quản lý và sử dụng phí trong hoạt động hóa chất. )</w:t>
              <w:br/>
              <w:t>File đính kèm: TT08_2018_PhiHoachat.pdf</w:t>
            </w:r>
          </w:p>
        </w:tc>
        <w:tc>
          <w:p/>
          <w:p>
            <w:pPr>
              <w:spacing w:after="0" w:before="0" w:lineRule="auto" w:line="276"/>
              <w:jc w:val="left"/>
            </w:pPr>
            <w:r>
              <w:rPr>
                <w:rFonts w:ascii="Times New Roman" w:hAnsi="Times New Roman" w:cs="Times New Roman" w:eastAsia="Times New Roman"/>
                <w:b w:val="false"/>
                <w:sz w:val="26"/>
              </w:rPr>
              <w:t>Sở Công Thương nơi tổ chức, cá nhân đặt cơ sở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(600.000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(600.000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Qua Bưu điện.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đã được cấp trong trường hợp Giấy chứng nhận bị sai sót hoặc có thay đổi về thông tin của tổ chức, cá nhân; phần bản chính còn lại có thể nhận dạng được của Giấy chứng nhận trong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Trường hợp Giấy chứng nhận bị mất, sai sót, hư hỏng hoặc có thay đổi về thông tin của tổ chức, cá nhân,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2025-12-18T08:44:05Z</dcterms:created>
  <dc:creator>Apache POI</dc:creator>
</cp:coreProperties>
</file>