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không phải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w:t>
      </w:r>
    </w:p>
    <w:p>
      <w:pPr>
        <w:spacing w:after="0" w:before="0" w:lineRule="auto" w:line="276"/>
        <w:jc w:val="both"/>
      </w:pPr>
      <w:r>
        <w:rPr>
          <w:rFonts w:ascii="Times New Roman" w:hAnsi="Times New Roman" w:cs="Times New Roman" w:eastAsia="Times New Roman"/>
          <w:b w:val="false"/>
          <w:sz w:val="26"/>
        </w:rPr>
        <w:t>* Ghi đầy đủ lời chứng chứng thực chữ ký người dịch theo mẫu quy định;
*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10.000 đồng/trường hợp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sao từ sổ gốc, bản sao có chứng thực bằng cử nhân (đại học)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Phòng Tư pháp chỉ chứng thực chữ ký người dịch không phải là cộng tác viên khi người đó tự dịch giấy tờ, văn bản của mình.
*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thường trú,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2025-12-17T00:29:57Z</dcterms:created>
  <dc:creator>Apache POI</dc:creator>
</cp:coreProperties>
</file>