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chữ ký người dịch phải xuất trình các giấy tờ phục vụ việc chứng thực chữ ký người dịch tại Trung tâm Phục vụ hành chính công cấp xã</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so với chữ ký mẫu thì yêu cầu người dịch ký trước mặt.</w:t>
      </w:r>
    </w:p>
    <w:p>
      <w:pPr>
        <w:spacing w:after="0" w:before="0" w:lineRule="auto" w:line="276"/>
        <w:jc w:val="both"/>
      </w:pPr>
      <w:r>
        <w:rPr>
          <w:rFonts w:ascii="Times New Roman" w:hAnsi="Times New Roman" w:cs="Times New Roman" w:eastAsia="Times New Roman"/>
          <w:b w:val="false"/>
          <w:sz w:val="26"/>
        </w:rPr>
        <w:t>* Ghi đầy đủ lời chứng chứng thực chữ ký người dịch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hoặc có thể kéo dài hơn theo thỏa thuận bằng văn bản với người yêu cầu chứng thực.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10.000 đồng/trường hợp. Trường hợp được hiểu là một hoặc nhiều chữ ký trong cùng một giấy tờ, văn 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2025-12-17T00:27:45Z</dcterms:created>
  <dc:creator>Apache POI</dc:creator>
</cp:coreProperties>
</file>