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2.001035.000.00.00.H18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giao dịch liên quan đến tài sản là động sản, quyền sử dụng đất, nhà 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bản chính hoặc bản sao có chứng thực Giấy chứng minh nhân dân/Thẻ căn cước công dân/Thẻ căn cước/Giấy chứng nhận căn cước/Hộ chiếu/giấy tờ xuất nhập cảnh/giấy tờ có giá trị đi lại quốc tế còn giá trị sử dụng hoặc Căn cước điện tử và nộp 01 (một) bộ hồ sơ yêu cầu chứng thực.</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trong trường hợp tiếp nhận hồ sơ tại bộ phận một cửa, một cửa liên thông) kiểm tra giấy tờ trong hồ sơ yêu cầu chứng thực, nếu đầy đủ, tại thời điểm chứng thực các bên tham gia hợp đồng, giao dịch tự nguyện, minh mẫn và nhận thức, làm chủ được hành vi của mình thì thực hiện chứng thực.</w:t>
      </w:r>
    </w:p>
    <w:p>
      <w:pPr>
        <w:spacing w:after="0" w:before="0" w:lineRule="auto" w:line="276"/>
        <w:jc w:val="both"/>
      </w:pPr>
      <w:r>
        <w:rPr>
          <w:rFonts w:ascii="Times New Roman" w:hAnsi="Times New Roman" w:cs="Times New Roman" w:eastAsia="Times New Roman"/>
          <w:b w:val="false"/>
          <w:sz w:val="26"/>
        </w:rPr>
        <w:t>+ Các bên tham gia hợp đồng, giao dịch phải ký trước mặt người thực hiện chứng thực, nếu hợp đồng, giao dịch có từ hai trang trở lên thì phải ký vào từng trang. Trường hợp người yêu cầu chứng thực nộp hồ sơ tại bộ phận một cửa, một cửa liên thông thì các bên tham gia hợp đồng,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tại bộ phận một cửa, một cửa liên thông) phải đối chiếu chữ ký của họ trong hợp đồng với chữ ký mẫu trước khi thực hiện chứng thực, nếu nghi ngờ chữ ký trong hợp đồng khác với chữ ký mẫu thì yêu cầu người đó ký trước mặt.</w:t>
      </w:r>
    </w:p>
    <w:p>
      <w:pPr>
        <w:spacing w:after="0" w:before="0" w:lineRule="auto" w:line="276"/>
        <w:jc w:val="both"/>
      </w:pPr>
      <w:r>
        <w:rPr>
          <w:rFonts w:ascii="Times New Roman" w:hAnsi="Times New Roman" w:cs="Times New Roman" w:eastAsia="Times New Roman"/>
          <w:b w:val="false"/>
          <w:sz w:val="26"/>
        </w:rPr>
        <w:t>+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hợp đồng, giao dịch. Người làm chứng do người yêu cầu chứng thực bố trí. Trường hợp người yêu cầu chứng thực không bố trí được thì đề nghị cơ quan thực hiện chứng thực chỉ định người làm chứng.</w:t>
      </w:r>
    </w:p>
    <w:p>
      <w:pPr>
        <w:spacing w:after="0" w:before="0" w:lineRule="auto" w:line="276"/>
        <w:jc w:val="both"/>
      </w:pPr>
      <w:r>
        <w:rPr>
          <w:rFonts w:ascii="Times New Roman" w:hAnsi="Times New Roman" w:cs="Times New Roman" w:eastAsia="Times New Roman"/>
          <w:b w:val="false"/>
          <w:sz w:val="26"/>
        </w:rPr>
        <w:t>+ Người thực hiện chứng thực (hoặc người tiếp nhận hồ sơ) ghi lời chứng tương ứng với từng loại hợp đồng, giao dịch theo mẫu quy định. Trường hợp tiếp nhận hồ sơ tại bộ phận một cửa, một cửa liên thông thì người tiếp nhận hồ sơ ký vào từng trang của hợp đồng, giao dịch và ký vào dưới lời chứng theo mẫu quy định.</w:t>
      </w:r>
    </w:p>
    <w:p>
      <w:pPr>
        <w:spacing w:after="0" w:before="0" w:lineRule="auto" w:line="276"/>
        <w:jc w:val="both"/>
      </w:pPr>
      <w:r>
        <w:rPr>
          <w:rFonts w:ascii="Times New Roman" w:hAnsi="Times New Roman" w:cs="Times New Roman" w:eastAsia="Times New Roman"/>
          <w:b w:val="false"/>
          <w:sz w:val="26"/>
        </w:rPr>
        <w:t>Người thực hiện chứng thực ký vào từng trang của hợp đồng, giao dịch (nếu hồ sơ không được tiếp nhận qua bộ phận một cửa, một chửa liên thông), ký, ghi rõ họ tên, đóng dấu của cơ quan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hợp đồng, giao dịch có từ 02 (hai) trang trở lên, thì từng trang phải được đánh số thứ tự, có chữ ký của người yêu cầu chứng thực và người thực hiện chứng thực; số lượng trang và lời chứng được ghi tại trang cuối của hợp đồng, giao dịch. Trường hợp hợp đồng, giao dịch có từ 02 (hai) tờ trở lên thì phải đóng dấu giáp lai.</w:t>
      </w:r>
    </w:p>
    <w:p>
      <w:pPr>
        <w:spacing w:after="0" w:before="0" w:lineRule="auto" w:line="276"/>
        <w:jc w:val="both"/>
      </w:pPr>
      <w:r>
        <w:rPr>
          <w:rFonts w:ascii="Times New Roman" w:hAnsi="Times New Roman" w:cs="Times New Roman" w:eastAsia="Times New Roman"/>
          <w:b w:val="false"/>
          <w:sz w:val="26"/>
        </w:rPr>
        <w:t>+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trả.Người phiên dịch có trách nhiệm dịch đầy đủ, chính xác nội dung của hợp đồng, giao dịch, nội dung lời chứng cho người yêu cầu chứng thực và ký vào từng trang hợp đồng với tư cách là người phiên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quá 02 (hai) ngày làm việc, kể từ ngày nhận đủ hồ sơ yêu cầu chứng thực hoặc có thể kéo dài hơn theo thỏa thuận bằng văn bản với người yêu cầu chứng thực. Trường hợp kéo dài thời hạn giải quyết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50.000 Đồng</w:t>
              <w:t xml:space="preserve"> (50.000 đồng/hợp đồng, giao dịch)</w:t>
            </w:r>
          </w:p>
        </w:tc>
        <w:tc>
          <w:p/>
          <w:p>
            <w:pPr>
              <w:spacing w:after="0" w:before="0" w:lineRule="auto" w:line="276"/>
              <w:jc w:val="left"/>
            </w:pPr>
            <w:r>
              <w:rPr>
                <w:rFonts w:ascii="Times New Roman" w:hAnsi="Times New Roman" w:cs="Times New Roman" w:eastAsia="Times New Roman"/>
                <w:b w:val="false"/>
                <w:sz w:val="26"/>
              </w:rPr>
              <w:t>Nộp hồ sơ trực tiếp tại Ủy ban nhân dân cấp xã. Việc chứng thực các hợp đồng, giao dịch liên quan đến quyền của người sử dụng đất được thực hiện tại Ủy ban nhân dân cấp xã nơi có đất. Việc chứng thực các hợp đồng, giao dịch liên quan đến nhà ở được thực hiện tại Ủy ban nhân dân cấp xã nơi có nhà.</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Dự thảo giao dịch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Bản chính hoặc bản sao có chứng thực hoặc bản sao điện tử được chứng thực từ bản chính của giấy chứng nhận quyền sở hữu, quyền sử dụng hoặc giấy tờ thay thế được pháp luật quy định đối với tài sản mà pháp luật quy định phải đăng ký quyền sở hữu, quyền sử dụng trong trường hợp giao dịch liên quan đến tài sản đó; trừ trường hợp người lập di chúc đang bị cái chết đe dọa đến tính mạng. Trường hợp nộp hồ sơ trực tiếp, người yêu cầu chứng thực có thể nộp bản sao kèm xuất trình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226/2016/TT-BTC </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2025-12-18T00:30:49Z</dcterms:created>
  <dc:creator>Apache POI</dc:creator>
</cp:coreProperties>
</file>