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việc sửa đổi, bổ sung, hủy bỏ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giấy tờ tùy thân còn giá trị sử dụng để người thực hiện chứng thực kiểm tra và nộp 01 bộ hồ sơ .</w:t>
      </w:r>
    </w:p>
    <w:p>
      <w:pPr>
        <w:spacing w:after="0" w:before="0" w:lineRule="auto" w:line="276"/>
        <w:jc w:val="both"/>
      </w:pPr>
      <w:r>
        <w:rPr>
          <w:rFonts w:ascii="Times New Roman" w:hAnsi="Times New Roman" w:cs="Times New Roman" w:eastAsia="Times New Roman"/>
          <w:b w:val="false"/>
          <w:sz w:val="26"/>
        </w:rPr>
        <w:t>+ Việc sửa đổi, bổ sung, hủy bỏ hợp đồng, giao dịch đã được chứng thực chỉ được thực hiện khi có thỏa thuận bằng văn bản của các bên tham gia hợp đồng, giao dịch.</w:t>
      </w:r>
    </w:p>
    <w:p>
      <w:pPr>
        <w:spacing w:after="0" w:before="0" w:lineRule="auto" w:line="276"/>
        <w:jc w:val="both"/>
      </w:pPr>
      <w:r>
        <w:rPr>
          <w:rFonts w:ascii="Times New Roman" w:hAnsi="Times New Roman" w:cs="Times New Roman" w:eastAsia="Times New Roman"/>
          <w:b w:val="false"/>
          <w:sz w:val="26"/>
        </w:rPr>
        <w:t>+ Việc sửa đổi, bổ sung, hủy bỏ hợp đồng, giao dịch được thực hiện tại cơ quan đã chứng thực hợp đồng, giao dịch. Trường hợp sửa đổi, bổ sung, thay thế, hủy bỏ một phần hoặc toàn bộ di chúc thì có thể chứng thực tại bất kỳ cơ quan có thẩm quyền chứng thực nào.</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tiếp nhận hồ sơ,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nếu hợp đồng có từ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tại bộ phận một cửa, một cửa liên thông)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chưng thực ký vào từng trang của hợp đồng, giao dịch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hợp đồng, giao dịch có từ 02 (hai) trang trở lên, thì từng trang phải được đánh số thứ tự;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0" w:lineRule="auto" w:line="276"/>
        <w:jc w:val="both"/>
      </w:pPr>
      <w:r>
        <w:rPr>
          <w:rFonts w:ascii="Times New Roman" w:hAnsi="Times New Roman" w:cs="Times New Roman" w:eastAsia="Times New Roman"/>
          <w:b w:val="false"/>
          <w:sz w:val="26"/>
        </w:rPr>
        <w:t>+ Cơ quan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hợp đồng, giao dịch.</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 sửa đổi, bổ sung, hủy bỏ giao dịch đã được chứng thực. Trong trường hợp nội dung sửa đổi, bổ sung, hủy bỏ giao dịch có liên quan đến tài sản phải đăng ký quyền sở hữu, quyền sử dụng thì người yêu cầu chứng thực phải nộp bản sao giấy tờ chứng minh quyền sở hữu, quyền sử dụng hoặc giấy tờ thay thế được pháp luật quy định và xuất trình bản chính để đối chiếu; trừ trường hợp người lập di chúc đang bị cái chết đe dọa đến tính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sửa đổi, bổ sung, hủy bỏ giao dịch đã được chứng thực chỉ được thực hiện khi có thỏa thuận bằng văn bản của các bên tham gia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2025-12-17T00:19:43Z</dcterms:created>
  <dc:creator>Apache POI</dc:creator>
</cp:coreProperties>
</file>