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trường tiểu học tư thục, trường trung học cơ sở tư thục và trường phổ thông tư thục có nhiều cấp học có cấp học cao nhất là trung học cơ sở do nhà đầu tư trong nước đầu tư sang trường phổ thông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giáo dục phổ thông tư thục gửi 01 bộ hồ sơ theo quy định tại khoản 1 Điều trực tiếp hoặc qua bưu điện hoặc nộp trực tuyến kèm theo bản mềm đến Trung tâm Phục vụ hành chính công cấp xã đối với trường tiểu học tư thục, trường trung học cơ sở tư thục và trường phổ thông tư thục có nhiều cấp học có cấp học cao nhất là trung học cơ sở do nhà đầu tư trong nước đầu tư và bảo đảm điều kiện hoạt động.</w:t>
      </w:r>
    </w:p>
    <w:p>
      <w:pPr>
        <w:spacing w:after="0" w:before="0" w:lineRule="auto" w:line="276"/>
        <w:jc w:val="both"/>
      </w:pPr>
      <w:r>
        <w:rPr>
          <w:rFonts w:ascii="Times New Roman" w:hAnsi="Times New Roman" w:cs="Times New Roman" w:eastAsia="Times New Roman"/>
          <w:b w:val="false"/>
          <w:sz w:val="26"/>
        </w:rPr>
        <w:t>b) Trong thời hạn 20 ngày làm việc tính từ ngày nhận đủ hồ sơ theo quy định, Ủy ban nhân dân cấp xã tổ chức thẩm định hồ sơ, trình Chủ tịch Ủy ban nhân dân cấp xã theo thẩm quyền quyết định chuyển đổi.
Quyết định chuyển đổi được công bố công khai trên cổng thông tin điện tử hoặc trang thông tin điện tử của cơ quan quyết định chuyển đổi.</w:t>
      </w:r>
    </w:p>
    <w:p>
      <w:pPr>
        <w:spacing w:after="0" w:before="0" w:lineRule="auto" w:line="276"/>
        <w:jc w:val="both"/>
      </w:pPr>
      <w:r>
        <w:rPr>
          <w:rFonts w:ascii="Times New Roman" w:hAnsi="Times New Roman" w:cs="Times New Roman" w:eastAsia="Times New Roman"/>
          <w:b w:val="false"/>
          <w:sz w:val="26"/>
        </w:rPr>
        <w:t>c) Trường hợp hồ sơ không bảo đảm theo quy định, trong thời hạn 05 ngày làm việc tính từ ngày nhận hồ sơ, Ủy ban nhân dân cấp xã gửi văn bản thông báo cho cơ sở giáo dục phổ thông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cơ sở giáo dục phổ thông tư thục sang cơ sở giáo dục phổ thông tư thục hoạt động không vì lợi nhuận, trong đó nêu rõ sự cần thiết phải chuyển đổi; tôn chỉ, mục đích hoạt động không vì lợi nhuận; phân vốn góp, phần tài sản thuộc sở hữu chung hợp nhất không phân chia của nhà trường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cơ sở giáo dục phổ thông tư thục chuyển sang cơ sở giáo dục phổ thông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cơ sở giáo dục phổ thông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cơ sở giáo dục phổ thông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báo cáo kết quả kiểm toán; thỏa thuận giải quyết phần vốn góp cho nhà đầu tư không đồng ý chuyển đổi sang cơ sở giáo dục phổ thông tư thục hoạt động không vì lợi nhuận (nếu có); các giấy tờ, tài liệu về đất đai, tài sản, tài chính, tổ chức và nhân sự của cơ sở giáo dục phổ thông tư thục chuyển đổi sang cơ sở giáo dục phổ thông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cơ sở giáo dục phổ thông tư thục, quyết định công nhận hội đồng trường đương nhiệm, quyết định công nhận hiệu trưởng đương nhiệm của cơ sở giáo dục phổ thông tư thục và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chuyển đổi trường tiểu học tư thục/trường trung học cơ sở tư thục/trường phổ thông tư thục có nhiều cấp học có cấp học cao nhất là trung học cơ sở do nhà đầu tư trong nước đầu tư sang trường tiểu học tư thục/trường trung học cơ sở tư thục/trường phổ thông tư thục có nhiều cấp học có cấp học cao nhất là trung học cơ sở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tiểu học tư thục, trường trung học cơ sở tư thục và trường phổ thông tư thục có nhiều cấp học có cấp học cao nhất là trung học cơ sở do nhà đầu tư trong nước đầu tư, bảo đảm điều kiện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2025-12-17T07:04:10Z</dcterms:created>
  <dc:creator>Apache POI</dc:creator>
</cp:coreProperties>
</file>