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điều lệ (sửa đổi, bổ sung) quỹ; đổi tên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quá trình hoạt, quỹ thấy cần thiết (hoặc theo yêu cầu của cơ quan nhà nước có thẩm quyền) sửa đổi, bổ sung điều lệ quỹ, đổi tên quỹ, Hội đồng quản lý quỹ gửi hồ sơ đến Trung tâm Phục vụ hành chính công cấp xã đề nghị công nhận điều lệ (sửa đổi, bổ sung) quỹ; đổi tên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công nhận điều lệ (sửa đổi, bổ sung) quỹ; đổi tên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điều lệ (sửa đổi, bổ sung) quỹ.</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đổi tên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điều lệ (sửa đổi, bổ sung)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đổi tên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điều lệ (sửa đổi, bổ sung)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đổi tên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điều lệ (sửa đổi, bổ sung) quỹ và đổi tên (nếu có) (theo mẫu)</w:t>
            </w:r>
          </w:p>
        </w:tc>
        <w:tc>
          <w:p/>
          <w:p>
            <w:pPr>
              <w:spacing w:after="0" w:before="0" w:lineRule="auto" w:line="276"/>
              <w:jc w:val="left"/>
            </w:pPr>
            <w:r>
              <w:rPr>
                <w:rFonts w:ascii="Times New Roman" w:hAnsi="Times New Roman" w:cs="Times New Roman" w:eastAsia="Times New Roman"/>
                <w:b w:val="false"/>
                <w:sz w:val="26"/>
              </w:rPr>
              <w:t>Mauso11.docx</w:t>
            </w:r>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p>
            <w:pPr>
              <w:spacing w:after="0" w:before="0" w:lineRule="auto" w:line="276"/>
              <w:jc w:val="left"/>
            </w:pPr>
            <w:r>
              <w:rPr>
                <w:rFonts w:ascii="Times New Roman" w:hAnsi="Times New Roman" w:cs="Times New Roman" w:eastAsia="Times New Roman"/>
                <w:b w:val="false"/>
                <w:sz w:val="26"/>
              </w:rPr>
              <w:t>Mauso07.docx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nêu rõ lý do về việc sửa đổi, bổ sung điều lệ quỹ và đổi tên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sửa đổi, bổ sung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bằng văn bản của sáng lập viên hoặc người đại diện hợp pháp của sáng lập viên (nếu có) đối với trường hợp đổi tên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điều lệ (sửa đổi, bổ sung) quỹ; cho phép đổi tên và công nhận điều lệ (sửa đổi, bổ sung) của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Đổi tên quỹ thì tên mới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2025-12-14T03:05:10Z</dcterms:created>
  <dc:creator>Apache POI</dc:creator>
</cp:coreProperties>
</file>