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1.009478.000.00.00.H18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công bố hợp quy  đối với các sản phẩm, hàng  hóa sản xuất trong nước  được quản lý bởi các quy  chuẩn kỹ thuật quốc gia do  Bộ Nông nghiệp và Môi trường ban hành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thực hiện công bố hợp quy sản phẩm, hàng hóa sản xuất trong nước phù hợp với quy chuẩn kỹ thuật tương ứng (Bao gồm: Trường hợp công bố hợp quy dựa trên kết quả tự đánh giá; trường hợp công bố hợp quy dựa trên kết quả đánh giá của tổ chức chứng nhận đã đăng ký hoặc được thừa nhận; trường hợp công bố hợp quy dựa trên kết quả đánh giá của tổ chức chứng nhận được chỉ định) nộp hồ sơ tới Đăng ký công bố hợp quy đối với các sản phẩm, hàng hóa sản xuất trong nước được quản lý bởi các quy chuẩn kỹ thuật quốc gia do Bộ Nông nghiệp và Môi trường ban hành  nơi tổ chức, cá nhân sản xuất đăng ký doanh nghiệp hoặc đăng ký hộ kinh doanh.
Thời gian tiếp nhận hồ sơ: Trong giờ hành chính vào ngày làm việc trong tuần (thứ bảy, chủ nhật, ngày lễ nghỉ)</w:t>
      </w:r>
    </w:p>
    <w:p>
      <w:pPr>
        <w:spacing w:after="0" w:before="0" w:lineRule="auto" w:line="276"/>
        <w:jc w:val="both"/>
      </w:pPr>
      <w:r>
        <w:rPr>
          <w:rFonts w:ascii="Times New Roman" w:hAnsi="Times New Roman" w:cs="Times New Roman" w:eastAsia="Times New Roman"/>
          <w:b w:val="false"/>
          <w:sz w:val="26"/>
        </w:rPr>
        <w:t>Bước 2: Xử lý hồ sơ1
* Đối với trường hợp công bố hợp quy dựa trên kết quả tự đánh giá: 
- Tổ chức, cá nhân nộp hồ sơ công bố hợp quy theo quy định cho cơ quan chuyên ngành để công bố hợp quy dựa trên kết quả tự đánh giá của tổ chức, cá nhân;
- Sau khi nộp hồ sơ công bố hợp quy tại cơ quan chuyên ngành, tổ chức, cá nhân được phép lưu thông hàng hóa.</w:t>
      </w:r>
    </w:p>
    <w:p>
      <w:pPr>
        <w:spacing w:after="0" w:before="0" w:lineRule="auto" w:line="276"/>
        <w:jc w:val="both"/>
      </w:pPr>
      <w:r>
        <w:rPr>
          <w:rFonts w:ascii="Times New Roman" w:hAnsi="Times New Roman" w:cs="Times New Roman" w:eastAsia="Times New Roman"/>
          <w:b w:val="false"/>
          <w:sz w:val="26"/>
        </w:rPr>
        <w:t>* Đối với trường hợp công bố hợp quy dựa trên kết quả đánh giá của tổ chức chứng nhận đã đăng ký hoặc được thừa nhận (sau đây viết tắt là tổ chức chứng nhận): 
- Tổ chức, cá nhân nộp hồ sơ công bố hợp quy theo quy định cho cơ quan chuyên ngành để công bố hợp quy dựa trên kết quả đánh giá của tổ chức chứng nhận;
- Sau khi có bản Thông báo tiếp nhận hồ sơ công bố hợp quy của cơ quan chuyên ngành, tổ chức, cá nhân được phép lưu thông hàng hóa.</w:t>
      </w:r>
    </w:p>
    <w:p>
      <w:pPr>
        <w:spacing w:after="0" w:before="0" w:lineRule="auto" w:line="276"/>
        <w:jc w:val="both"/>
      </w:pPr>
      <w:r>
        <w:rPr>
          <w:rFonts w:ascii="Times New Roman" w:hAnsi="Times New Roman" w:cs="Times New Roman" w:eastAsia="Times New Roman"/>
          <w:b w:val="false"/>
          <w:sz w:val="26"/>
        </w:rPr>
        <w:t>* Đối với trường hợp công bố hợp quy dựa trên kết quả đánh giá của tổ chức chứng nhận được chỉ định: 
- Tổ chức, cá nhân nộp hồ sơ công bố hợp quy theo quy định kèm theo bản sao y bản chính Giấy chứng nhận phù hợp quy chuẩn kỹ thuật của tổ chức chứng nhận được chỉ định cho cơ quan chuyên ngành để được cấp Thông báo tiếp nhận hồ sơ công bố hợp quy;
- Sau khi nộp hồ sơ công bố hợp quy tại cơ quan chuyên ngành, tổ chức, cá nhân được phép lưu thông hàng hóa.Sở Nông nghiệp và Phát triển nông thôn hoặc Cơ quan quản lý chuyên ngành được Ủy ban nhân dân tỉnh, thành phố trực thuộc Trung ương chỉ định tiếp nhận và iểm tra tính đầy đủ của hồ sơ theo trình tự sau:
- Trường hợp hồ sơ đăng ký công bố hợp quy không đầy đủ theo quy định, trong thời hạn 03 (ba) ngày làm việc kể từ ngày nhận được hồ sơ đăng ký công bố hợp quy, Sở Nông nghiệp và Phát triển nông thôn hoặc Cơ quan quản lý chuyên ngành được Ủy ban nhân dân tỉnh, thành phố trực thuộc Trung ương chỉ định (sau đây viết tắt là Cơ quan quản lý chuyên ngành) thông báo bằng văn bản đề nghị bổ sung các loại giấy tờ theo quy định tới tổ chức, cá nhân công bố hợp quy. Sau thời hạn 15 (mười lăm) ngày làm việc kể từ ngày gửi văn bản đề nghị mà hồ sơ đăng ký công bố hợp quy không được bổ sung đầy đủ theo quy định, cơ quan chuyên ngành có quyền huỷ bỏ việc xử lý đối với hồ sơ này.
- Trường hợp hồ sơ đăng ký công bố hợp quy đầy đủ và hợp lệ, Cơ quan quản lý chuyên ngành ban hành Thông báo tiếp nhận hồ sơ đăng ký công bố hợp quy cho tổ chức, cá nhân công bố hợp quy.
- Trường hợp hồ sơ đăng ký công bố hợp quy đầy đủ nhưng không hợp lệ,Cơ quan quản lý chuyên ngành thông báo bằng văn bản cho tổ chức, cá nhân công bố hợp quy về lý do không tiếp nhận hồ sơ.</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Đăng ký công bố hợp quy đối với các sản phẩm, hàng hóa sản xuất trong nước được quản lý bởi các quy chuẩn kỹ thuật quốc gia do Bộ Nông nghiệp và Môi trường ban hành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t>Lệ phí : 150000 Đồng</w:t>
              <w:br/>
              <w:t>File đính kèm: VanBanGoc_183_2016_TT-BTC.pdf</w:t>
            </w:r>
          </w:p>
        </w:tc>
        <w:tc>
          <w:p/>
          <w:p>
            <w:pPr>
              <w:spacing w:after="0" w:before="0" w:lineRule="auto" w:line="276"/>
              <w:jc w:val="left"/>
            </w:pPr>
            <w:r>
              <w:rPr>
                <w:rFonts w:ascii="Times New Roman" w:hAnsi="Times New Roman" w:cs="Times New Roman" w:eastAsia="Times New Roman"/>
                <w:b w:val="false"/>
                <w:sz w:val="26"/>
              </w:rPr>
              <w:t>- Đối với hồ sơ đăng ký công bố hợp quy không đầy đủ theo quy định, trong thời hạn 03 (ba) ngày làm việc kể từ ngày nhận được hồ sơ đăng ký công bố hợp quy, Cơ quan quản lý có thẩm quyền thông báo bằng văn bản đề nghị bổ sung các loại giấy tờ theo quy định tới tổ chức, cá nhân công bố hợp quy. Sau thời hạn 15 (mười lăm) ngày làm việc kể từ ngày Cơ quan quản lý có thẩm quyền gửi văn  bản đề nghị mà hồ sơ đăng ký công bố hợp quy không được bổ sung đầy đủ theo quy định, Cơ quan quản lý có thẩm quyền có quyền hủy bỏ việc xử lý đối với hồ sơ này. 
- Đối với hồ sơ đăng ký công bố hợp quy đầy đủ theo quy định, trong thời hạn 05 (năm) ngày làm việc kể từ ngày nhận được hồ sơ đăng ký công bố hợp quy, Cơ quan quản lý có thẩm quyền phải tổ chức kiểm tra tính hợp lệ của hồ sơ đăng ký công bố hợp quy để xử lý như sau:
+ Trường hợp hồ sơ đăng ký công bố hợp quy đầy đủ và hợp lệ, Cơ quan quản lý có thẩm quyền ban hành Thông báo tiếp nhận hồ sơ đăng ký công bố hợp quy cho tổ chức, cá nhân công bố hợp quy.
+ Trường hợp hồ sơ đăng ký công bố hợp quy đầy đủ nhưng không hợp lệ, Cơ quan quản lý có thẩm quyền thông báo bằng văn bản cho tổ chức, cá nhân công bố hợp quy về lý do không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t>Lệ phí : 150000 Đồng</w:t>
              <w:br/>
              <w:t>File đính kèm: VanBanGoc_183_2016_TT-BTC.pdf</w:t>
            </w:r>
          </w:p>
        </w:tc>
        <w:tc>
          <w:p/>
          <w:p>
            <w:pPr>
              <w:spacing w:after="0" w:before="0" w:lineRule="auto" w:line="276"/>
              <w:jc w:val="left"/>
            </w:pPr>
            <w:r>
              <w:rPr>
                <w:rFonts w:ascii="Times New Roman" w:hAnsi="Times New Roman" w:cs="Times New Roman" w:eastAsia="Times New Roman"/>
                <w:b w:val="false"/>
                <w:sz w:val="26"/>
              </w:rPr>
              <w:t>- Đối với hồ sơ đăng ký công bố hợp quy không đầy đủ theo quy định, trong thời hạn 03 (ba) ngày làm việc kể từ ngày nhận được hồ sơ đăng ký công bố hợp quy, Cơ quan quản lý có thẩm quyền thông báo bằng văn bản đề nghị bổ sung các loại giấy tờ theo quy định tới tổ chức, cá nhân công bố hợp quy. Sau thời hạn 15 (mười lăm) ngày làm việc kể từ ngày Cơ quan quản lý có thẩm quyền gửi văn  bản đề nghị mà hồ sơ đăng ký công bố hợp quy không được bổ sung đầy đủ theo quy định, Cơ quan quản lý có thẩm quyền có quyền hủy bỏ việc xử lý đối với hồ sơ này. 
- Đối với hồ sơ đăng ký công bố hợp quy đầy đủ theo quy định, trong thời hạn 05 (năm) ngày làm việc kể từ ngày nhận được hồ sơ đăng ký công bố hợp quy, Cơ quan quản lý có thẩm quyền phải tổ chức kiểm tra tính hợp lệ của hồ sơ đăng ký công bố hợp quy để xử lý như sau:
+ Trường hợp hồ sơ đăng ký công bố hợp quy đầy đủ và hợp lệ, Cơ quan quản lý có thẩm quyền ban hành Thông báo tiếp nhận hồ sơ đăng ký công bố hợp quy cho tổ chức, cá nhân công bố hợp quy.
+ Trường hợp hồ sơ đăng ký công bố hợp quy đầy đủ nhưng không hợp lệ, Cơ quan quản lý có thẩm quyền thông báo bằng văn bản cho tổ chức, cá nhân công bố hợp quy về lý do không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công bố hợp quy dựa trên kết quả chứng nhận của tổ  chức chứng nhận đã đăng ký hoặc tổ chức chứng nhận được chỉ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y bản chính Giấy chứng nhận phù hợp quy chuẩn kỹ thuật tương  ứng kèm theo mẫu dấu hợp quy do tổ chức chứng nhận đã đăng ký hoặc tổ chức  chứng nhận được chỉ định cấp cho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công bố hợp quy dựa trên kết quả tự đánh giá của tổ  chức, cá nhân: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tự đánh giá gồm các thông tin sau: Tên tổ chức, cá nhân; địa chỉ; điện thoại, fax; + Tên sản phẩm, hàng hóa, nhà sản xuất; + Số hiệu quy chuẩn kỹ thuật; + Kết quả thử nghiệm chất lượng sản phẩm hàng hóa nhóm 2 theo quy định tại quy chuẩn kỹ thuật quốc gia tương ứng; + Kết luận sản phẩm, hàng hóa phù hợp với quy chuẩn kỹ thuật; + Cam kết chất lượng sản phẩm hàng hóa phù hợp với quy chuẩn kỹ thuật  quốc gia, tiêu chuẩn công bố áp dụng và hoàn toàn chịu trách nhiệm trước pháp  luật về chất lượng sản phẩm, hàng hóa và kết quả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công bố hợp quy.</w:t>
            </w:r>
          </w:p>
        </w:tc>
        <w:tc>
          <w:p/>
          <w:p>
            <w:pPr>
              <w:spacing w:after="0" w:before="0" w:lineRule="auto" w:line="276"/>
              <w:jc w:val="left"/>
            </w:pPr>
            <w:r>
              <w:rPr>
                <w:rFonts w:ascii="Times New Roman" w:hAnsi="Times New Roman" w:cs="Times New Roman" w:eastAsia="Times New Roman"/>
                <w:b w:val="false"/>
                <w:sz w:val="26"/>
              </w:rPr>
              <w:t>Bản công  bố HQ.docx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Đăng ký công bố hợp quy đối với các sản phẩm, hàng hóa sản xuất trong nước được quản lý bởi các quy chuẩn kỹ thuật quốc gia do Bộ Nông nghiệp và Môi trường ban hành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05/2007/QH12</w:t>
            </w:r>
          </w:p>
        </w:tc>
        <w:tc>
          <w:p/>
          <w:p>
            <w:pPr>
              <w:spacing w:after="0" w:before="0" w:lineRule="auto" w:line="276"/>
              <w:jc w:val="left"/>
            </w:pPr>
            <w:r>
              <w:rPr>
                <w:rFonts w:ascii="Times New Roman" w:hAnsi="Times New Roman" w:cs="Times New Roman" w:eastAsia="Times New Roman"/>
                <w:b w:val="false"/>
                <w:sz w:val="26"/>
              </w:rPr>
              <w:t>21-11-2007</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w:t>
            </w:r>
          </w:p>
        </w:tc>
        <w:tc>
          <w:p/>
          <w:p>
            <w:pPr>
              <w:spacing w:after="0" w:before="0" w:lineRule="auto" w:line="276"/>
              <w:jc w:val="left"/>
            </w:pPr>
            <w:r>
              <w:rPr>
                <w:rFonts w:ascii="Times New Roman" w:hAnsi="Times New Roman" w:cs="Times New Roman" w:eastAsia="Times New Roman"/>
                <w:b w:val="false"/>
                <w:sz w:val="26"/>
              </w:rPr>
              <w:t>29-06-2006</w:t>
            </w:r>
          </w:p>
        </w:tc>
        <w:tc>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74/2018/NĐ-CP</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28/2012/TT-BKHCN</w:t>
            </w:r>
          </w:p>
        </w:tc>
        <w:tc>
          <w:p/>
          <w:p>
            <w:pPr>
              <w:spacing w:after="0" w:before="0" w:lineRule="auto" w:line="276"/>
              <w:jc w:val="left"/>
            </w:pPr>
            <w:r>
              <w:rPr>
                <w:rFonts w:ascii="Times New Roman" w:hAnsi="Times New Roman" w:cs="Times New Roman" w:eastAsia="Times New Roman"/>
                <w:b w:val="false"/>
                <w:sz w:val="26"/>
              </w:rPr>
              <w:t>Thông tư 28/2012/TT-BKHCN</w:t>
            </w:r>
          </w:p>
        </w:tc>
        <w:tc>
          <w:p/>
          <w:p>
            <w:pPr>
              <w:spacing w:after="0" w:before="0" w:lineRule="auto" w:line="276"/>
              <w:jc w:val="left"/>
            </w:pPr>
            <w:r>
              <w:rPr>
                <w:rFonts w:ascii="Times New Roman" w:hAnsi="Times New Roman" w:cs="Times New Roman" w:eastAsia="Times New Roman"/>
                <w:b w:val="false"/>
                <w:sz w:val="26"/>
              </w:rPr>
              <w:t>12-12-2012</w:t>
            </w:r>
          </w:p>
        </w:tc>
        <w:tc>
          <w:p/>
        </w:tc>
      </w:tr>
      <w:tr>
        <w:tc>
          <w:p/>
          <w:p>
            <w:pPr>
              <w:spacing w:after="0" w:before="0" w:lineRule="auto" w:line="276"/>
              <w:jc w:val="left"/>
            </w:pPr>
            <w:r>
              <w:rPr>
                <w:rFonts w:ascii="Times New Roman" w:hAnsi="Times New Roman" w:cs="Times New Roman" w:eastAsia="Times New Roman"/>
                <w:b w:val="false"/>
                <w:sz w:val="26"/>
              </w:rPr>
              <w:t>02/2017/TT-BKHCN</w:t>
            </w:r>
          </w:p>
        </w:tc>
        <w:tc>
          <w:p/>
          <w:p>
            <w:pPr>
              <w:spacing w:after="0" w:before="0" w:lineRule="auto" w:line="276"/>
              <w:jc w:val="left"/>
            </w:pPr>
            <w:r>
              <w:rPr>
                <w:rFonts w:ascii="Times New Roman" w:hAnsi="Times New Roman" w:cs="Times New Roman" w:eastAsia="Times New Roman"/>
                <w:b w:val="false"/>
                <w:sz w:val="26"/>
              </w:rPr>
              <w:t>Thông tư 02/2017/TT-BKHCN</w:t>
            </w:r>
          </w:p>
        </w:tc>
        <w:tc>
          <w:p/>
          <w:p>
            <w:pPr>
              <w:spacing w:after="0" w:before="0" w:lineRule="auto" w:line="276"/>
              <w:jc w:val="left"/>
            </w:pPr>
            <w:r>
              <w:rPr>
                <w:rFonts w:ascii="Times New Roman" w:hAnsi="Times New Roman" w:cs="Times New Roman" w:eastAsia="Times New Roman"/>
                <w:b w:val="false"/>
                <w:sz w:val="26"/>
              </w:rPr>
              <w:t>31-03-2017</w:t>
            </w:r>
          </w:p>
        </w:tc>
        <w:tc>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Thông tư 183/2016/TT-BTC</w:t>
            </w:r>
          </w:p>
        </w:tc>
        <w:tc>
          <w:p/>
          <w:p>
            <w:pPr>
              <w:spacing w:after="0" w:before="0" w:lineRule="auto" w:line="276"/>
              <w:jc w:val="left"/>
            </w:pPr>
            <w:r>
              <w:rPr>
                <w:rFonts w:ascii="Times New Roman" w:hAnsi="Times New Roman" w:cs="Times New Roman" w:eastAsia="Times New Roman"/>
                <w:b w:val="false"/>
                <w:sz w:val="26"/>
              </w:rPr>
              <w:t>08-11-2016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2025-11-12T01:48:57Z</dcterms:created>
  <dc:creator>Apache POI</dc:creator>
</cp:coreProperties>
</file>