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2.001255.000.00.00.H18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việc nuôi con nuôi trong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đăng ký lại việc nuôi con nuôi nộp Tờ khai đăng ký lại việc nuôi con nuôi cho Bộ phận tiếp nhận và trả kết quả UBND cấp xã   nơi cha mẹ nuôi và con nuôi thường trú hoặc nơi đã đăng ký việc nuôi con nuôi trước đây. Tờ khai phải có cam đoan của người yêu cầu đăng ký lại về tính trung thực của việc đăng ký nuôi con nuôi trước đó và có chữ ký của ít nhất hai người làm chứng;
Lưu ý: Ủy ban nhân dân cấp xã giải thích rõ cho người có yêu cầu đăng ký lại việc nuôi con nuôi về trách nhiệm, hệ quả pháp lý của việc cam đoan không đúng sự thật. Trường hợp có cơ sở xác định nội dung cam đoan không đúng sự thật, Ủy ban nhân dân cấp xã từ chối đăng ký lại việc nuôi con nuôi hoặc đề nghị cơ quan có thẩm quyền hủy bỏ kết quả đăng ký lại việc nuôi con nuôi.
- Chủ tịch Ủy ban nhân dân cấp xã ký Giấy chứng nhận nuôi con nuôi trong nước. Mục ghi chú của bản chính Giấy chứng nhận nuôi con nuôi và Sổ đăng ký nuôi con nuôi ghi rõ là đăng ký lại. 
Bản chính Giấy chứng nhận nuôi con nuôi trong nước được gửi cho người yêu cầu đăng ký lại qua hệ thống bưu chính hoặc trả trực tiếp tại Ủy ban nhân dân cấp xã. Bản điện tử Giấy chứng nhận nuôi con nuôi trong nước gửi qua Kho quản lý dữ liệu điện tử của cá nhận hoặc qua hộp thư điện tử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ngày làm việc,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ngày làm việc,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ngày làm việc,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lại việc nuôi  con nuôi. Tờ khai phải có  cam đoan của người yêu cầu đăng ký lại về tính trung thực của việc đăng ký nuôi con nuôi trước đó và có chữ ký của ít nhất hai người làm chứng.</w:t>
            </w:r>
          </w:p>
        </w:tc>
        <w:tc>
          <w:p/>
          <w:p>
            <w:pPr>
              <w:spacing w:after="0" w:before="0" w:lineRule="auto" w:line="276"/>
              <w:jc w:val="left"/>
            </w:pPr>
            <w:r>
              <w:rPr>
                <w:rFonts w:ascii="Times New Roman" w:hAnsi="Times New Roman" w:cs="Times New Roman" w:eastAsia="Times New Roman"/>
                <w:b w:val="false"/>
                <w:sz w:val="26"/>
              </w:rPr>
              <w:t>7.Tkhaingklivicnuiconnui.doc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Lưu ý: Khi nộp hồ sơ, trường hợp phải chứng minh nơi thường trú của cha mẹ nuôi và con nuôi, cán bộ, công chức, viên chức, cá nhân được giao trách nhiệm tiếp nhận, giải quyết hồ sơ phải khai thác, sử dụng thông tin về cư trú của công dân trong Cơ sở dữ liệu quốc gia về dân cư theo các phương thức nêu tại khoản 2 Điều 14 Nghị định số 104/2022/NĐ-CP ngày 21/12/2022 của Chính phủ.  Trường hợp không thể khai thác được thông tin cư trú của công dân theo các phương thức trên thì có thể yêu cầu người nộp hồ sơ nộp bản sao hoặc xuất trình một trong các giấy tờ chứng minh thông tin về cư trú, bao gồm: Thẻ căn cước; Giấy xác nhận thông tin về cư trú, Giấy thông báo số định danh cá nhân và thông tin công dân trong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nuôi con nuôi trong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52/2010/QH12 </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19/2011/NĐ-CP </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12/2011/TT-BTP </w:t>
            </w:r>
          </w:p>
        </w:tc>
        <w:tc>
          <w:p/>
          <w:p>
            <w:pPr>
              <w:spacing w:after="0" w:before="0" w:lineRule="auto" w:line="276"/>
              <w:jc w:val="left"/>
            </w:pPr>
            <w:r>
              <w:rPr>
                <w:rFonts w:ascii="Times New Roman" w:hAnsi="Times New Roman" w:cs="Times New Roman" w:eastAsia="Times New Roman"/>
                <w:b w:val="false"/>
                <w:sz w:val="26"/>
              </w:rPr>
              <w:t>Thông tư 12/2011/TT-BTP</w:t>
            </w:r>
          </w:p>
        </w:tc>
        <w:tc>
          <w:p/>
          <w:p>
            <w:pPr>
              <w:spacing w:after="0" w:before="0" w:lineRule="auto" w:line="276"/>
              <w:jc w:val="left"/>
            </w:pPr>
            <w:r>
              <w:rPr>
                <w:rFonts w:ascii="Times New Roman" w:hAnsi="Times New Roman" w:cs="Times New Roman" w:eastAsia="Times New Roman"/>
                <w:b w:val="false"/>
                <w:sz w:val="26"/>
              </w:rPr>
              <w:t>27-06-2011</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24/2014/TT-BTP </w:t>
            </w:r>
          </w:p>
        </w:tc>
        <w:tc>
          <w:p/>
          <w:p>
            <w:pPr>
              <w:spacing w:after="0" w:before="0" w:lineRule="auto" w:line="276"/>
              <w:jc w:val="left"/>
            </w:pPr>
            <w:r>
              <w:rPr>
                <w:rFonts w:ascii="Times New Roman" w:hAnsi="Times New Roman" w:cs="Times New Roman" w:eastAsia="Times New Roman"/>
                <w:b w:val="false"/>
                <w:sz w:val="26"/>
              </w:rPr>
              <w:t>Thông tư 24/2014/TT-BTP</w:t>
            </w:r>
          </w:p>
        </w:tc>
        <w:tc>
          <w:p/>
          <w:p>
            <w:pPr>
              <w:spacing w:after="0" w:before="0" w:lineRule="auto" w:line="276"/>
              <w:jc w:val="left"/>
            </w:pPr>
            <w:r>
              <w:rPr>
                <w:rFonts w:ascii="Times New Roman" w:hAnsi="Times New Roman" w:cs="Times New Roman" w:eastAsia="Times New Roman"/>
                <w:b w:val="false"/>
                <w:sz w:val="26"/>
              </w:rPr>
              <w:t>29-12-2014</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114/2016/NĐ-CP </w:t>
            </w:r>
          </w:p>
        </w:tc>
        <w:tc>
          <w:p/>
          <w:p>
            <w:pPr>
              <w:spacing w:after="0" w:before="0" w:lineRule="auto" w:line="276"/>
              <w:jc w:val="left"/>
            </w:pPr>
            <w:r>
              <w:rPr>
                <w:rFonts w:ascii="Times New Roman" w:hAnsi="Times New Roman" w:cs="Times New Roman" w:eastAsia="Times New Roman"/>
                <w:b w:val="false"/>
                <w:sz w:val="26"/>
              </w:rPr>
              <w:t>Nghị định 114/2016/NĐ-CP</w:t>
            </w:r>
          </w:p>
        </w:tc>
        <w:tc>
          <w:p/>
          <w:p>
            <w:pPr>
              <w:spacing w:after="0" w:before="0" w:lineRule="auto" w:line="276"/>
              <w:jc w:val="left"/>
            </w:pPr>
            <w:r>
              <w:rPr>
                <w:rFonts w:ascii="Times New Roman" w:hAnsi="Times New Roman" w:cs="Times New Roman" w:eastAsia="Times New Roman"/>
                <w:b w:val="false"/>
                <w:sz w:val="26"/>
              </w:rPr>
              <w:t>08-07-2016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267/2016/TT-BTC </w:t>
            </w:r>
          </w:p>
        </w:tc>
        <w:tc>
          <w:p/>
          <w:p>
            <w:pPr>
              <w:spacing w:after="0" w:before="0" w:lineRule="auto" w:line="276"/>
              <w:jc w:val="left"/>
            </w:pPr>
            <w:r>
              <w:rPr>
                <w:rFonts w:ascii="Times New Roman" w:hAnsi="Times New Roman" w:cs="Times New Roman" w:eastAsia="Times New Roman"/>
                <w:b w:val="false"/>
                <w:sz w:val="26"/>
              </w:rPr>
              <w:t>Thông tư 267/2016/TT-BTC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10/2020/TT-BTP về việc ban hành, hướng dẫn việc ghi chép, sử dụng, quản lý và lưu trữ sổ, mẫu giấy tờ, hồ sơ nuôi con nuôi.</w:t>
            </w:r>
          </w:p>
        </w:tc>
        <w:tc>
          <w:p/>
          <w:p>
            <w:pPr>
              <w:spacing w:after="0" w:before="0" w:lineRule="auto" w:line="276"/>
              <w:jc w:val="left"/>
            </w:pPr>
            <w:r>
              <w:rPr>
                <w:rFonts w:ascii="Times New Roman" w:hAnsi="Times New Roman" w:cs="Times New Roman" w:eastAsia="Times New Roman"/>
                <w:b w:val="false"/>
                <w:sz w:val="26"/>
              </w:rPr>
              <w:t>20-05-2024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Sổ đăng ký nuôi con nuôi và bản chính giấy tờ đăng ký nuôi con nuôi bị mất hoặc hư hỏng không sử dụng được; 
- Cha, mẹ nuôi và con nuôi đều còn sống vào thời điểm yêu cầu đăng ký lại.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2025-12-17T02:03:28Z</dcterms:created>
  <dc:creator>Apache POI</dc:creator>
</cp:coreProperties>
</file>