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hồ sơ người có công đang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Trung tâm Phục vụ hành chính công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hd w:val="clear" w:color="auto" w:fill="F2F6F9"/>
        <w:spacing w:after="0" w:before="120" w:lineRule="auto" w:line="276"/>
        <w:jc w:val="both"/>
      </w:pPr>
      <w:r>
        <w:rPr>
          <w:rFonts w:ascii="Times New Roman" w:hAnsi="Times New Roman" w:cs="Times New Roman" w:eastAsia="Times New Roman"/>
          <w:b w:val="true"/>
          <w:sz w:val="26"/>
        </w:rPr>
        <w:t>a.2 Trường hợp hồ sơ người có công không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Trung tâm Phục vụ hành chính công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Cơ quan, đơn vị quản lý người có công thuộc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2025-12-14T01:48:53Z</dcterms:created>
  <dc:creator>Apache POI</dc:creator>
</cp:coreProperties>
</file>