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1.001639.000.00.00.H18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thể trường tiểu học (theo đề nghị của tổ chức, cá nhân đề nghị thành lập trường tiểu học)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tiểu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Cơ quan, tổ chức, cá nhân gửi 01 bộ hồ sơ quy định tại điểm b khoản 3 Điều 15 Phụ lục II kèm theo Nghị định 142/2025/NĐ-CP qua cổng dịch vụ công trực tuyến hoặc bưu chính hoặc trực tiếp tới Trung tâm Phục vụ hành chính công cấp xã;
Trong thời hạn 20 ngày làm việc, kể từ ngày nhận được hồ sơ đề nghị giải thể trường tiểu học, Chủ tịch Ủy ban nhân dân cấp xã quyết định việc giải thể trường tiểu học; nếu chưa quyết định giải thể thì thông báo bằng văn bản cho cơ quan, tổ chức, cá nhân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được hồ sơ đề nghị giải thể.</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được hồ sơ đề nghị giải thể.</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ngày nhận được hồ sơ đề nghị giải thể.</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giải thể của cơ quan, tổ chức, cá nhân thành lập trường tiểu học (theo Mẫu số 06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Mus06PL2.doc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giải thể trường tiểu học (theo Mẫu số 07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Mus07PL2.doc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thể trường tiểu học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46/2017/NĐ-CP</w:t>
            </w:r>
          </w:p>
        </w:tc>
        <w:tc>
          <w:p/>
          <w:p>
            <w:pPr>
              <w:spacing w:after="0" w:before="0" w:lineRule="auto" w:line="276"/>
              <w:jc w:val="left"/>
            </w:pPr>
            <w:r>
              <w:rPr>
                <w:rFonts w:ascii="Times New Roman" w:hAnsi="Times New Roman" w:cs="Times New Roman" w:eastAsia="Times New Roman"/>
                <w:b w:val="false"/>
                <w:sz w:val="26"/>
              </w:rPr>
              <w:t>Quy định về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21-04-2017</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135/2018/NĐ-CP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46/2017/NĐ-CP ngày 21/4/2017 của Chính phủ quy định về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04-10-2018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2025-12-17T06:56:15Z</dcterms:created>
  <dc:creator>Apache POI</dc:creator>
</cp:coreProperties>
</file>