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1.001731.000.00.00.H18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1322/QĐ-UBND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chi phí mai táng cho đối tượng bảo trợ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Cá nhân, cơ quan, đơn vị tổ chức mai táng cho đối tượng làm hồ sơ theo quy định,  nộp tại Trung tâm phục vụ hành chính công cấp xã.</w:t>
      </w:r>
    </w:p>
    <w:p>
      <w:pPr>
        <w:spacing w:after="0" w:before="0" w:lineRule="auto" w:line="276"/>
        <w:jc w:val="both"/>
      </w:pPr>
      <w:r>
        <w:rPr>
          <w:rFonts w:ascii="Times New Roman" w:hAnsi="Times New Roman" w:cs="Times New Roman" w:eastAsia="Times New Roman"/>
          <w:b w:val="false"/>
          <w:sz w:val="26"/>
        </w:rPr>
        <w:t>- Bước 2: Trong thời hạn 02 ngày làm việc, kể từ ngày nhận đủ hồ sơ, Chủ tịch Ủy ban nhân dân cấp xã có văn bản đề nghị kèm theo hồ sơ của đối tượng gửi Phòng Y tế.</w:t>
      </w:r>
    </w:p>
    <w:p>
      <w:pPr>
        <w:spacing w:after="0" w:before="0" w:lineRule="auto" w:line="276"/>
        <w:jc w:val="both"/>
      </w:pPr>
      <w:r>
        <w:rPr>
          <w:rFonts w:ascii="Times New Roman" w:hAnsi="Times New Roman" w:cs="Times New Roman" w:eastAsia="Times New Roman"/>
          <w:b w:val="false"/>
          <w:sz w:val="26"/>
        </w:rPr>
        <w:t>- Bước 3: Trong thời hạn 03 ngày làm việc, kể từ ngày nhận văn bản Chủ tịch Ủy ban nhân dân cấp xã  quyết định hỗ trợ chi phí mai táng.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đề nghị hỗ trợ chi phí mai táng của cơ quan, tổ  chức, hộ gia đình hoặc cá nhân đứng ra tổ chức mai táng cho đối tượng (theo Mẫu số 04 ban hành kèm theo Nghị định số 20/2021/NĐ-CP);</w:t>
            </w:r>
          </w:p>
        </w:tc>
        <w:tc>
          <w:p/>
          <w:p>
            <w:pPr>
              <w:spacing w:after="0" w:before="0" w:lineRule="auto" w:line="276"/>
              <w:jc w:val="left"/>
            </w:pPr>
            <w:r>
              <w:rPr>
                <w:rFonts w:ascii="Times New Roman" w:hAnsi="Times New Roman" w:cs="Times New Roman" w:eastAsia="Times New Roman"/>
                <w:b w:val="false"/>
                <w:sz w:val="26"/>
              </w:rPr>
              <w:t>Mus04.docx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tử hoặc giấy báo tử của đối  tượng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quyết định hoặc danh sách thôi hưởng trợ  cấp bảo hiểm xã hội, trợ cấp khác của cơ quan có thẩm quyền đối với trường hợp người từ đủ 80 tuổi đang hưởng trợ cấp tuất bảo hiểm xã hội hàng tháng, trợ cấp hàng tháng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hỗ trợ chi phí mai táng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136/2013/NĐ-CP</w:t>
            </w:r>
          </w:p>
        </w:tc>
        <w:tc>
          <w:p/>
          <w:p>
            <w:pPr>
              <w:spacing w:after="0" w:before="0" w:lineRule="auto" w:line="276"/>
              <w:jc w:val="left"/>
            </w:pPr>
            <w:r>
              <w:rPr>
                <w:rFonts w:ascii="Times New Roman" w:hAnsi="Times New Roman" w:cs="Times New Roman" w:eastAsia="Times New Roman"/>
                <w:b w:val="false"/>
                <w:sz w:val="26"/>
              </w:rPr>
              <w:t>Nghị định 136/2013/NĐ-CP - Quy định chính sách trợ giúp xã hội đối với đối tượng bảo trợ xã hội</w:t>
            </w:r>
          </w:p>
        </w:tc>
        <w:tc>
          <w:p/>
          <w:p>
            <w:pPr>
              <w:spacing w:after="0" w:before="0" w:lineRule="auto" w:line="276"/>
              <w:jc w:val="left"/>
            </w:pPr>
            <w:r>
              <w:rPr>
                <w:rFonts w:ascii="Times New Roman" w:hAnsi="Times New Roman" w:cs="Times New Roman" w:eastAsia="Times New Roman"/>
                <w:b w:val="false"/>
                <w:sz w:val="26"/>
              </w:rPr>
              <w:t>21-10-2013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29/2014/TTLT-BLĐTBXH-BTC</w:t>
            </w:r>
          </w:p>
        </w:tc>
        <w:tc>
          <w:p/>
          <w:p>
            <w:pPr>
              <w:spacing w:after="0" w:before="0" w:lineRule="auto" w:line="276"/>
              <w:jc w:val="left"/>
            </w:pPr>
            <w:r>
              <w:rPr>
                <w:rFonts w:ascii="Times New Roman" w:hAnsi="Times New Roman" w:cs="Times New Roman" w:eastAsia="Times New Roman"/>
                <w:b w:val="false"/>
                <w:sz w:val="26"/>
              </w:rPr>
              <w:t>Thông tư liên tịch 29/2014/TTLT-BLĐTBXH-BTC - Hướng dẫn thực hiện một số điều của Nghị định số 136/2013/NĐ-CP ngày 21 tháng 10 năm 2013 của Chính phủ quy định chính sách trợ giúp xã hội đối với đối tượng bảo trợ xã hội</w:t>
            </w:r>
          </w:p>
        </w:tc>
        <w:tc>
          <w:p/>
          <w:p>
            <w:pPr>
              <w:spacing w:after="0" w:before="0" w:lineRule="auto" w:line="276"/>
              <w:jc w:val="left"/>
            </w:pPr>
            <w:r>
              <w:rPr>
                <w:rFonts w:ascii="Times New Roman" w:hAnsi="Times New Roman" w:cs="Times New Roman" w:eastAsia="Times New Roman"/>
                <w:b w:val="false"/>
                <w:sz w:val="26"/>
              </w:rPr>
              <w:t>24-10-2014</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Những đối tượng khi chết được hỗ trợ chi phí mai táng:
- Đối tượng quy định tại Điều 5 Nghị định số 20/2021/NĐ-CP đang hưởng trợ cấp xã hội hàng tháng.
- Con của người đơn thân nghèo đang nuôi con quy định tại khoản 4 Điều 5 Nghị định số 20/2021/NĐ-CP.
- Người từ đủ 80 tuổi đang hưởng trợ cấp tuất bảo hiểm xã hội hàng tháng, trợ cấp hàng tháng khác.
- Hộ gia đình có người chết, mất tích do thiên tai, hỏa hoạn, dịch bệnh; tai nạn giao thông, tai nạn lao động nghiêm trọng hoặc các lý do bất khả kháng khác.
- Cơ quan, tổ chức, cá nhân tổ chức mai táng cho người chết quy định tại khoản 1 Điều 14 nghị định số 20/2021/NĐ-CP do không có người nhận trách nhiệm tổ chức mai táng.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2025-12-13T07:10:19Z</dcterms:created>
  <dc:creator>Apache POI</dc:creator>
</cp:coreProperties>
</file>