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1459/QĐ-UBND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học văn hóa, học nghề, trợ cấp khó khăn ban đầu cho nạn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tệ nạn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Trong thời hạn 12 (mười hai) tháng, kể từ ngày được cơ quan có thẩm quyền xác nhận là nạn nhân, nạn nhân hoặc gia đình nạn nhân làm đơn  nộp tại Trung tâm Phục vụ Hành chính công cấp xã.
Bước 2: Trong thời hạn 03 (ba) ngày làm việc, kể từ ngày nhận được đơn của nạn nhân hoặc gia đình nạn nhân, Chủ tịch Ủy ban nhân dân cấp xã lập hồ sơ gửi Phòng Y tế.</w:t>
      </w:r>
    </w:p>
    <w:p>
      <w:pPr>
        <w:spacing w:after="0" w:before="0" w:lineRule="auto" w:line="276"/>
        <w:jc w:val="both"/>
      </w:pPr>
      <w:r>
        <w:rPr>
          <w:rFonts w:ascii="Times New Roman" w:hAnsi="Times New Roman" w:cs="Times New Roman" w:eastAsia="Times New Roman"/>
          <w:b w:val="false"/>
          <w:sz w:val="26"/>
        </w:rPr>
        <w:t>Bước 3: Trong thời hạn 05 (năm) ngày làm việc, kể từ ngày nhận đủ hồ sơ đề nghị, Phòng Y tế có trách nhiệm thẩm định, gửi Chủ tịch Ủy ban nhân dân cấp xã xem xét, quyết định.
Bước 4: Trong thời hạn 03 (ba) ngày làm việc, kể từ ngày nhận được văn bản trình của Phòng Y tế, Chủ tịch Ủy ban nhân dân cấp xã xem xét, quyết định chi hỗ trợ học văn hóa, học nghề, trợ cấp khó khăn ban đầu cho nạn nhân.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09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hỗ trợ học văn hóa của gia đình nạn nhân dưới 18 tuổi hoặc gia đình người đi cùng dưới 18 tuổi; Đơn đề nghị hỗ trợ học nghề, trợ cấp khó khăn ban đầu của nạn nhân hoặc gia đình nạn nhân (đối với trường hợp dưới 18 tuổi) theo Mẫu số 07 ban hành kèm theo Nghị định số 162/2025/NĐ-CP ngày 29/6/2025 của Chính phủ quy định chi tiết một số điều và biện pháp thi hành Luật Phòng, chống mua bán người</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huyện, quận, thành phố trực thuộc tỉnh, thị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chi hỗ trợ học văn hóa, học nghề, trợ cấp khó khăn ban đầu cho nạn nhân (BYT)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09/2013/NĐ-CP</w:t>
            </w:r>
          </w:p>
        </w:tc>
        <w:tc>
          <w:p/>
          <w:p>
            <w:pPr>
              <w:spacing w:after="0" w:before="0" w:lineRule="auto" w:line="276"/>
              <w:jc w:val="left"/>
            </w:pPr>
            <w:r>
              <w:rPr>
                <w:rFonts w:ascii="Times New Roman" w:hAnsi="Times New Roman" w:cs="Times New Roman" w:eastAsia="Times New Roman"/>
                <w:b w:val="false"/>
                <w:sz w:val="26"/>
              </w:rPr>
              <w:t>Nghị định 09/2013/NĐ-CP - Hướng dẫn Luật Phòng, chống mua bán người</w:t>
            </w:r>
          </w:p>
        </w:tc>
        <w:tc>
          <w:p/>
          <w:p>
            <w:pPr>
              <w:spacing w:after="0" w:before="0" w:lineRule="auto" w:line="276"/>
              <w:jc w:val="left"/>
            </w:pPr>
            <w:r>
              <w:rPr>
                <w:rFonts w:ascii="Times New Roman" w:hAnsi="Times New Roman" w:cs="Times New Roman" w:eastAsia="Times New Roman"/>
                <w:b w:val="false"/>
                <w:sz w:val="26"/>
              </w:rPr>
              <w:t>11-01-2013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35/2013/TT-BLĐTBXH</w:t>
            </w:r>
          </w:p>
        </w:tc>
        <w:tc>
          <w:p/>
          <w:p>
            <w:pPr>
              <w:spacing w:after="0" w:before="0" w:lineRule="auto" w:line="276"/>
              <w:jc w:val="left"/>
            </w:pPr>
            <w:r>
              <w:rPr>
                <w:rFonts w:ascii="Times New Roman" w:hAnsi="Times New Roman" w:cs="Times New Roman" w:eastAsia="Times New Roman"/>
                <w:b w:val="false"/>
                <w:sz w:val="26"/>
              </w:rPr>
              <w:t>Thông tư 35/2013/TT-BLĐTBXH - Hướng dẫn thi hành một số điều của Nghị định số 09/2013/NĐ-CP ngày 11 tháng 01 năm 2013 của Chính phủ quy định chi tiết thi hành một số điều của Luật Phòng, chống mua bán người</w:t>
            </w:r>
          </w:p>
        </w:tc>
        <w:tc>
          <w:p/>
          <w:p>
            <w:pPr>
              <w:spacing w:after="0" w:before="0" w:lineRule="auto" w:line="276"/>
              <w:jc w:val="left"/>
            </w:pPr>
            <w:r>
              <w:rPr>
                <w:rFonts w:ascii="Times New Roman" w:hAnsi="Times New Roman" w:cs="Times New Roman" w:eastAsia="Times New Roman"/>
                <w:b w:val="false"/>
                <w:sz w:val="26"/>
              </w:rPr>
              <w:t>30-12-2013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08/2023/TT-BLĐTBXH</w:t>
            </w:r>
          </w:p>
        </w:tc>
        <w:tc>
          <w:p/>
          <w:p>
            <w:pPr>
              <w:spacing w:after="0" w:before="0" w:lineRule="auto" w:line="276"/>
              <w:jc w:val="left"/>
            </w:pPr>
            <w:r>
              <w:rPr>
                <w:rFonts w:ascii="Times New Roman" w:hAnsi="Times New Roman" w:cs="Times New Roman" w:eastAsia="Times New Roman"/>
                <w:b w:val="false"/>
                <w:sz w:val="26"/>
              </w:rPr>
              <w:t>Sửa đổi, bổ sung, bãi bỏ một số điều của các Thông tư, Thông tư liên tịch có quy định liên quan đến việc nộp, xuất trình sổ hộ khẩu giấy, sổ tạm trú giấy hoặc giấy tờ có yêu cầu xác nhận nơi cư trú khi thực hiện thủ tục hành chính thuộc lĩnh vực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29-08-2023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trong thời gian lưu trú tại cơ sở trợ giúp xã hội, cơ sở hỗ trợ nạn nhân, nếu có nhu cầu được hỗ trợ học văn hóa;
b) Nạn nhân quy định tại khoản 1 Điều 24 Nghị định số 162/2025/NĐ-CP ngày 29/6/2025 của Chính phủ quy định chi tiết một số điều và biện pháp thi hành Luật Phòng, chống mua bán người: dưới 18 tuổi và người dưới 18 tuổi đi cùng trở về cộng đồng, nếu tiếp tục đi học được miễn học phí, hỗ trợ tiền mua sách giáo khoa và đồ dùng học tập theo chương trình học trong năm học đầu tiên và năm liền kề theo quy định của Chính phủ về cơ chế thu, quản lý học phí đối với cơ sở giáo dục thuộc hệ thống giáo dục quốc dân và chính sách miễn, giảm học phí, hỗ trợ chi phí học tập;
c) Nạn nhân là công dân Việt Nam, người không quốc tịch thường trú ở Việt Nam khi trở về nơi cư trú được hỗ trợ một lần tiền trợ cấp khó khăn ban đầu bằng một lần mức lương tối thiểu vùng theo quy định của Chính phủ tại thời điểm được cơ quan có thẩm quyền cấp Giấy xác nhận là nạn nhân;
d) Nạn nhân là công dân Việt Nam, người không quốc tịch thường trú ở Việt Nam khi trở về nơi cư trú nếu có nhu cầu học nghề thì được bố trí học nghề hoặc hỗ trợ một lần chi phí học nghề. Mức hỗ trợ theo chi phí đào tạo nghề ngắn hạn tương ứng tại các cơ sở đào tạo nghề ở địa phương nhưng tối đa không vượt quá mức quy định của Bộ Tài chính quy định quản lý và sử dụng kinh phí hỗ trợ đào tạo trình độ sơ cấp và đào tạo dưới 03 tháng.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2025-12-13T07:43:13Z</dcterms:created>
  <dc:creator>Apache POI</dc:creator>
</cp:coreProperties>
</file>