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1.013780.H18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Nhượng bán, xuất khẩu, tái xuất, thanh lý máy móc thiết bị chuyên ngành thuốc lá của các doanh nghiệp sản xuất thuốc lá, chế biến nguyên liệu thuốc lá</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Công nghiệp tiêu dùng</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Doanh nghiệp lập hồ sơ nhượng bán, xuất khẩu, tái xuất hoặc thanh lý máy móc, thiết bị cần thanh lý và văn bản đề nghị đến Ủy ban nhân dân cấp tỉnh. Trong thời hạn 15 ngày kể từ ngày nhận được văn bản của doanh nghiệp, Ủy ban nhân dân cấp tỉnh sẽ có văn bản trả lời doanh nghiệp hoặc thành lập Tổ giám sát tiêu hủy máy móc, thiết bị trong trường hợp thanh lý tiêu hủy thiết bị;
- Doanh nghiệp sau khi nhượng bán, xuất khẩu, tái xuất hoặc thanh lý máy móc, thiết bị chuyên ngành thuốc lá phải báo cáo về Ủy ban nhân dân cấp tỉnh, Bộ Công Thương kết quả thực hiện;
- Ủy ban nhân dân cấp tỉnh chủ trì, phối hợp với các cơ quan chức năng có liên quan tổ chức kiểm tra, phát hiện và xử lý đối với máy móc thiết bị thuốc lá không có nguồn gốc hợp pháp hoặc không tiêu hủy theo quy định.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15 Ngày</w:t>
            </w:r>
          </w:p>
        </w:tc>
        <w:tc>
          <w:p/>
          <w:p>
            <w:pPr>
              <w:spacing w:after="0" w:before="0" w:lineRule="auto" w:line="276"/>
              <w:jc w:val="left"/>
            </w:pPr>
            <w:r>
              <w:rPr>
                <w:rFonts w:ascii="Times New Roman" w:hAnsi="Times New Roman" w:cs="Times New Roman" w:eastAsia="Times New Roman"/>
                <w:b w:val="false"/>
                <w:sz w:val="26"/>
              </w:rPr>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Danh mục máy móc, thiết bị chuyên ngành thuốc lá đề nghị nhượng bán, xuất khẩu, tái xuất, thanh lý của các doanh nghiệp.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Đơn đề nghị nhượng bán, xuất khẩu, tái xuất hoặc thanh lý máy móc, thiết bị cần thanh lý;</w:t>
            </w:r>
          </w:p>
        </w:tc>
        <w:tc>
          <w:p/>
          <w:p>
            <w:pPr>
              <w:spacing w:after="0" w:before="0" w:lineRule="auto" w:line="276"/>
              <w:jc w:val="left"/>
            </w:pPr>
            <w:r>
              <w:rPr>
                <w:rFonts w:ascii="Times New Roman" w:hAnsi="Times New Roman" w:cs="Times New Roman" w:eastAsia="Times New Roman"/>
                <w:b w:val="false"/>
                <w:sz w:val="26"/>
              </w:rPr>
              <w:t>DondeNghi.docx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Doanh nghiệp,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 Sở Công Thương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1:Công văn trả lời</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67/2013/NĐ-CP</w:t>
            </w:r>
          </w:p>
        </w:tc>
        <w:tc>
          <w:p/>
          <w:p>
            <w:pPr>
              <w:spacing w:after="0" w:before="0" w:lineRule="auto" w:line="276"/>
              <w:jc w:val="left"/>
            </w:pPr>
            <w:r>
              <w:rPr>
                <w:rFonts w:ascii="Times New Roman" w:hAnsi="Times New Roman" w:cs="Times New Roman" w:eastAsia="Times New Roman"/>
                <w:b w:val="false"/>
                <w:sz w:val="26"/>
              </w:rPr>
              <w:t>Nghị định 67/2013/NĐ-CP</w:t>
            </w:r>
          </w:p>
        </w:tc>
        <w:tc>
          <w:p/>
          <w:p>
            <w:pPr>
              <w:spacing w:after="0" w:before="0" w:lineRule="auto" w:line="276"/>
              <w:jc w:val="left"/>
            </w:pPr>
            <w:r>
              <w:rPr>
                <w:rFonts w:ascii="Times New Roman" w:hAnsi="Times New Roman" w:cs="Times New Roman" w:eastAsia="Times New Roman"/>
                <w:b w:val="false"/>
                <w:sz w:val="26"/>
              </w:rPr>
              <w:t>28-06-2013</w:t>
            </w:r>
          </w:p>
        </w:tc>
        <w:tc>
          <w:p/>
        </w:tc>
      </w:tr>
      <w:tr>
        <w:tc>
          <w:p/>
          <w:p>
            <w:pPr>
              <w:spacing w:after="0" w:before="0" w:lineRule="auto" w:line="276"/>
              <w:jc w:val="left"/>
            </w:pPr>
            <w:r>
              <w:rPr>
                <w:rFonts w:ascii="Times New Roman" w:hAnsi="Times New Roman" w:cs="Times New Roman" w:eastAsia="Times New Roman"/>
                <w:b w:val="false"/>
                <w:sz w:val="26"/>
              </w:rPr>
              <w:t>nghị định 146/2025</w:t>
            </w:r>
          </w:p>
        </w:tc>
        <w:tc>
          <w:p/>
          <w:p>
            <w:pPr>
              <w:spacing w:after="0" w:before="0" w:lineRule="auto" w:line="276"/>
              <w:jc w:val="left"/>
            </w:pPr>
            <w:r>
              <w:rPr>
                <w:rFonts w:ascii="Times New Roman" w:hAnsi="Times New Roman" w:cs="Times New Roman" w:eastAsia="Times New Roman"/>
                <w:b w:val="false"/>
                <w:sz w:val="26"/>
              </w:rPr>
              <w:t>Nghị định số 146/2025/NĐ-CP</w:t>
            </w:r>
          </w:p>
        </w:tc>
        <w:tc>
          <w:p/>
          <w:p>
            <w:pPr>
              <w:spacing w:after="0" w:before="0" w:lineRule="auto" w:line="276"/>
              <w:jc w:val="left"/>
            </w:pPr>
            <w:r>
              <w:rPr>
                <w:rFonts w:ascii="Times New Roman" w:hAnsi="Times New Roman" w:cs="Times New Roman" w:eastAsia="Times New Roman"/>
                <w:b w:val="false"/>
                <w:sz w:val="26"/>
              </w:rPr>
              <w:t>12-06-2025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Doanh nghiệp có Giấy phép sản xuất sản phẩm thuốc lá, Giấy phép chế biến nguyên liệu thuốc lá.
- Doanh nghiệp sau khi nhượng bán, xuất khẩu, tái xuất hoặc thanh lý máy móc, thiết bị chuyên ngành thuốc lá phải báo cáo về Ủy ban nhân dân cấp tỉnh, Bộ Công Thương kết quả thực hiện.
- Việc nhượng bán, xuất khẩu, tái xuất, thanh lý máy móc thiết bị chuyên ngành thuốc lá của các doanh nghiệp sản xuất thuốc lá, chế biến nguyên liệu thuốc lá thực hiện theo các quy định pháp luật có liên quan và tuân thủ các quy định sau:
+ Doanh nghiệp chỉ được nhượng bán máy móc thiết bị còn giá trị sử dụng cho các doanh nghiệp có Giấy phép sản xuất thuốc lá, Giấy phép chế biến nguyên liệu thuốc lá phù hợp lĩnh vực sản xuất đã được cơ quan nhà nước có thẩm quyền cấp phép hoặc xuất khẩu, tái xuất ra nước ngoài;
+ Máy móc, thiết bị không còn giá trị sử dụng hoặc thanh lý khi đầu tư chiều sâu phải được tiêu hủy dưới sự giám sát của Tổ giám sát tiêu hủy máy móc, thiết bị do Cơ quan quản lý nhà nước có thẩm quyền thành lập.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2025-11-07T03:48:09Z</dcterms:created>
  <dc:creator>Apache POI</dc:creator>
</cp:coreProperties>
</file>