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1.013216.000.00.00.H18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Báo cáo nghiên cứu khả thi đầu tư xây dựng/ Báo cáo nghiên cứu khả thi đầu tư xây dựng điều chỉnh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đề nghị thẩm định nộp 01 bộ hồ sơ đề nghị thẩm định Báo cáo nghiên cứu khả thi đầu tư xây dựng/ Báo cáo nghiên cứu khả thi đầu tư xây dựng điều chỉnh đến Trung tâm Phục vụ hành chính công tỉnh Điện Biên hoặc Trung tâm Phục vụ hành chính công cấp xã trường hợp được phân cấp (sau đây gọi chung là cơ quan chuyên môn về xây dựng</w:t>
      </w:r>
    </w:p>
    <w:p>
      <w:pPr>
        <w:spacing w:after="0" w:before="0" w:lineRule="auto" w:line="276"/>
        <w:jc w:val="both"/>
      </w:pPr>
      <w:r>
        <w:rPr>
          <w:rFonts w:ascii="Times New Roman" w:hAnsi="Times New Roman" w:cs="Times New Roman" w:eastAsia="Times New Roman"/>
          <w:b w:val="false"/>
          <w:sz w:val="26"/>
        </w:rPr>
        <w:t>- Trong thời hạn 07 ngày sau khi tiếp nhận hồ sơ, cơ quan chuyên môn về xây dựng có trách nhiệm:
+ Gửi văn bản yêu cầu bổ sung hồ sơ đến người đề nghị thẩm định;
+ Gửi văn bản từ chối tiếp nhận thẩm định trong trường hợp xác định nội dung trong hồ sơ thẩm định khác nội dung nêu tại Tờ trình thẩm định.</w:t>
      </w:r>
    </w:p>
    <w:p>
      <w:pPr>
        <w:spacing w:after="0" w:before="0" w:lineRule="auto" w:line="276"/>
        <w:jc w:val="both"/>
      </w:pPr>
      <w:r>
        <w:rPr>
          <w:rFonts w:ascii="Times New Roman" w:hAnsi="Times New Roman" w:cs="Times New Roman" w:eastAsia="Times New Roman"/>
          <w:b w:val="false"/>
          <w:sz w:val="26"/>
        </w:rPr>
        <w:t>- Trong quá trình thẩm định, cơ quan chuyên môn về xây dựng có quyền tạm dừng thẩm định (không quá 01 lần) và có văn bản gửi người đề nghị thẩm định về các lỗi, sai sót về thông tin, số liệu trong nội dung hồ sơ dẫn đến không thể đưa ra kết luận thẩm định.
Trong thời hạn 20 ngày kể từ ngày nhận được yêu cầu của cơ quan chuyên môn về xây dựng, nếu người đề nghị thẩm định không thực hiện việc bổ sung, khắc phục hồ sơ theo yêu cầu thì cơ quan chuyên môn về xây dựng dừng việc thẩm định. Người đề nghị thẩm định nhận lại hồ sơ trình thẩm định tại Bộ phận Một cửa.</w:t>
      </w:r>
    </w:p>
    <w:p>
      <w:pPr>
        <w:spacing w:after="0" w:before="0" w:lineRule="auto" w:line="276"/>
        <w:jc w:val="both"/>
      </w:pPr>
      <w:r>
        <w:rPr>
          <w:rFonts w:ascii="Times New Roman" w:hAnsi="Times New Roman" w:cs="Times New Roman" w:eastAsia="Times New Roman"/>
          <w:b w:val="false"/>
          <w:sz w:val="26"/>
        </w:rPr>
        <w:t>- Trong thời hạn không quá, 35 ngày (đối với dự án nhóm A), 25 ngày (đối với dự án nhóm B), 15 ngày (đối với dự án nhóm C) kể từ ngày nhận đủ hồ sơ hợp lệ, cơ quan chuyên môn về xây dựng ra văn bản thông báo kết quả thẩm định kèm theo hồ sơ bản vẽ được đóng dấu xác nhận thẩm định hoặc hồ sơ bản vẽ không đóng dấu thẩm định (trường hợp Thông báo kết quả thẩm định kết luận chưa đủ điều kiện hoặc chỉ đủ điều kiện sau khi chỉnh sửa, hoàn thiện hồ sơ thiết kế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Theo quy định tại Thông tư của Bộ Tài chính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Không quá 35 ngày (đối với dự án nhóm A), 25 ngày (đối với dự án nhóm B), dự án nhóm C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Theo quy định tại Thông tư của Bộ trưởng Bộ Tài chính.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Không quá 35 ngày (đối với dự án nhóm A), 25 ngày (đối với dự án nhóm B), dự án nhóm C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Theo quy định tại Thông tư của Bộ trưởng Bộ Tài chính.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Không quá 35 ngày (đối với dự án nhóm A), 25 ngày (đối với dự án nhóm B), dự án nhóm C không quá 15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thẩm định Báo cáo nghiên cứu khả thi đầu tư xây dựng/ Báo cáo nghiên cứu khả thi đầu tư xây dựng điều chỉnh theo Mẫu số 01 Phụ lục I Nghị định số 175/2024/NĐ-CP;</w:t>
            </w:r>
          </w:p>
        </w:tc>
        <w:tc>
          <w:p/>
          <w:p>
            <w:pPr>
              <w:spacing w:after="0" w:before="0" w:lineRule="auto" w:line="276"/>
              <w:jc w:val="left"/>
            </w:pPr>
            <w:r>
              <w:rPr>
                <w:rFonts w:ascii="Times New Roman" w:hAnsi="Times New Roman" w:cs="Times New Roman" w:eastAsia="Times New Roman"/>
                <w:b w:val="false"/>
                <w:sz w:val="26"/>
              </w:rPr>
              <w:t>TotrinhthamdinhBaoconghiencuukhathidautuxaydung-Baocaonghiencuukhathidautuxaydungdieuchinh.docx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bản về chủ trương đầu tư xây dựng công trình (đối với các dự án thuộc diện phải có quyết định/chấp thuận chủ trương đầu tư theo quy định pháp luật về đầu tư, đầu tư công, đầu tư theo phương thức đối tác công tư) hoặc quyết định phê duyệt Đề án du lịch sinh thái, nghỉ dưỡng, giải trí trong rừng đối với dự án du lịch sinh thái, nghỉ dưỡng, giải trí trong rừng theo quy định của pháp luật về lâm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phép đầu tư, Giấy chứng nhận ưu đãi đầu tư, Giấy chứng nhận đầu tư, Giấy chứng nhận đăng ký đầu tư; Quyết định phê duyệt kết quả trúng đấu giá quyền sử dụng đất, trúng đấu thầu dự án có sử dụng đất đối với dự án thuộc trường hợp được chuyển tiếp theo quy định pháp luật về đầu tư không có yêu cầu phải thực hiện chấp thuận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lựa chọn phương án thiết kế kiến trúc thông qua thi tuyển và bản vẽ kèm theo (nếu có yêu cầu thi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bản/quyết định phê duyệt và bản đồ, bản vẽ kèm theo (nếu có) của quy hoạch sử dụng làm căn cứ lập dự án theo quy định tại khoản 2 Điều 13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Các văn bản thỏa thuận, xác nhận về đấu nối hạ tầng kỹ thuật của dự án; văn bản chấp thuận độ cao công trình theo quy định của Chính phủ về quản lý độ cao chướng ngại vật hàng không và các trận địa quản lý, bảo vệ vùng trời tại Việt Nam (trường hợp dự án không thuộc khu vực hoặc đối tượng có yêu cầu lấy ý kiến thống nhất về bề mặt quản lý độ cao công trình tại giai đoạn phê duyệt quy hoạch xây dựng) (nếu có);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bản/quyết định phê duyệt và các bản vẽ có liên quan hoặc trích lục phần bản vẽ có liên quan (nếu có) của quy hoạch được sử dụng làm căn cứ lập quy hoạch quy định tại điểm d khoản 2 Điều 17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kết quả thẩm định báo cáo đánh giá tác động môi trường hoặc giấy phép môi trường theo quy định của pháp luật về bảo vệ môi trường (nếu có yêu cầu theo quy định);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Thủ tục về bảo vệ môi trường được thực hiện theo nguyên tắc đồng thời, không yêu cầu bắt buộc xuất trình các văn bản này tại thời điểm trình hồ sơ thẩm định, nhưng phải có kết quả gửi cơ quan chuyên môn về xây dựng trước thời hạn thông báo kết quả thẩm định 05 ngày;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pháp lý, tài liệu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khảo sát xây dựng được phê duyệt; thuyết minh Báo cáo nghiên cứu khả thi đầu tư xây dựng; thiết kế cơ sở hoặc thiết kế khác theo thông lệ quốc tế phục vụ lập Báo cáo nghiên cứu khả thi đầu tư xây dựng (gồm bản vẽ và thuyết minh); danh mục tiêu chuẩn chủ yếu áp dụng cho dự án; Báo cáo kết quả thẩm tra thiết kế cơ sở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các nhà thầu kèm theo mã số chứng chỉ năng lực của nhà thầu khảo sát, nhà thầu lập thiết kế cơ sở, nhà thầu thẩm tra (nếu có); mã số chứng chỉ hành nghề hoạt động xây dựng của các chức danh chủ nhiệm khảo sát xây dựng; chủ nhiệm, chủ trì các bộ môn thiết kế, lập tổng mức đầu tư; chủ nhiệm, chủ trì thẩm tra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Đối với dự án sử dụng vốn đầu tư công, vốn nhà nước ngoài đầu tư công, ngoài các nội dung quy định nêu trên, hồ sơ trình thẩm định phải có các nội dung sau: tổng mức đầu tư; các thông tin, số liệu có liên quan về giá, định mức, báo giá, kết quả thẩm định giá (nếu có) để xác định tổng mức đầu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dự án có vi phạm hành chính về xây dựng đã bị xử phạt và biện pháp khắc phục hậu quả có yêu cầu thực hiện thẩm định, thẩm định điều chỉnh, cấp giấy phép xây dựng hoặc điều chỉnh giấy phép xây dựng, hồ sơ trình thẩm định còn phải có các nội dung: Báo cáo của chủ đầu tư về quá trình thực hiện dự án, tình hình thực tế thi công các công trình xây dựng của dự án đến thời điểm trình thẩm định; biên bản, quyết định xử phạt vi phạm hành chính của cấp có thẩm quyền; Báo cáo kiểm định của tổ chức kiểm định xây dựng đánh giá về khả năng chịu lực của phần công trình đã thi công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dự án sửa chữa, cải tạo, hồ sơ trình thẩm định còn phải có các nội dung: Hồ sơ khảo sát hiện trạng, Báo cáo kiểm định của tổ chức kiểm định xây dựng đánh giá về khả năng chịu lực của công trình (trường hợp nội dung sửa chữa, cải tạo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hồ sơ nêu trên, đối với dự án có quy mô từ nhóm B trở lên mà có công trình xây dựng mới từ cấp II trở lên, người đề nghị thẩm định có trách nhiệm cung cấp dữ liệu BIM của công trình theo các định dạng gốc và định dạng chuẩn IFC 4.0 hoặc các định dạng mở khác phù hợp với đặc thù, tính chất của công trình bằng các thiết bị lưu trữ phổ biến. Dữ liệu BIM có thể bao gồm nhiều tệp tin nhưng dung lượng mỗi tệp tin không quá 500 MB. Dữ liệu BIM phải có các thông tin thể hiện được vị trí, hình dạng không gian ba chiều của công trình và đầy đủ kích thước chủ yếu các bộ phận chính của công trình theo quy định tại khoản 2 Điều 8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trình thẩm định Báo cáo nghiên cứu khả thi đầu tư xây dựng điều chỉnh, ngoài các thành phần hồ sơ nêu trên còn phải làm rõ các nội dung sau: + Lý do, mục tiêu điều chỉnh dự án, việc đáp ứng điều kiện điều chỉnh dự án theo pháp luật có liên quan đối với dự án đầu tư xây dựng sử dụng vốn đầu tư công, vốn nhà nước ngoài đầu tư công, dự án PPP; + Báo cáo của chủ đầu tư về quá trình thực hiện dự án, tình hình thực tế thi công các công trình xây dựng của dự án đến thời điểm đề xuất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Công Thương - tỉnh Điện Biên, Sở Nông nghiệp và Môi trường - tỉnh Điện Biên,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thẩm định Báo cáo nghiên cứu khả thi đầu tư xây dựng/ Báo cáo nghiên cứu khả thi đầu tư xây dựng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62/2020/QH14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84/2024/NĐ-CP</w:t>
            </w:r>
          </w:p>
        </w:tc>
        <w:tc>
          <w:p/>
          <w:p>
            <w:pPr>
              <w:spacing w:after="0" w:before="0" w:lineRule="auto" w:line="276"/>
              <w:jc w:val="left"/>
            </w:pPr>
            <w:r>
              <w:rPr>
                <w:rFonts w:ascii="Times New Roman" w:hAnsi="Times New Roman" w:cs="Times New Roman" w:eastAsia="Times New Roman"/>
                <w:b w:val="false"/>
                <w:sz w:val="26"/>
              </w:rPr>
              <w:t>về thí điểm phân cấp quản lý nhà nước một số lĩnh vực cho chính quyền Thành phố Hồ Chí Minh.</w:t>
            </w:r>
          </w:p>
        </w:tc>
        <w:tc>
          <w:p/>
          <w:p>
            <w:pPr>
              <w:spacing w:after="0" w:before="0" w:lineRule="auto" w:line="276"/>
              <w:jc w:val="left"/>
            </w:pPr>
            <w:r>
              <w:rPr>
                <w:rFonts w:ascii="Times New Roman" w:hAnsi="Times New Roman" w:cs="Times New Roman" w:eastAsia="Times New Roman"/>
                <w:b w:val="false"/>
                <w:sz w:val="26"/>
              </w:rPr>
              <w:t>10-07-2024</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65/2025/QĐ-UBND</w:t>
            </w:r>
          </w:p>
        </w:tc>
        <w:tc>
          <w:p/>
          <w:p>
            <w:pPr>
              <w:spacing w:after="0" w:before="0" w:lineRule="auto" w:line="276"/>
              <w:jc w:val="left"/>
            </w:pPr>
            <w:r>
              <w:rPr>
                <w:rFonts w:ascii="Times New Roman" w:hAnsi="Times New Roman" w:cs="Times New Roman" w:eastAsia="Times New Roman"/>
                <w:b w:val="false"/>
                <w:sz w:val="26"/>
              </w:rPr>
              <w:t>Quyết định Ban hành quy định phân công, phân cấp về thẩm định Báo cáo nghiên cứu khả thi, Báo cáo kinh tế - kỹ thuật và thiết kế xây dựng triển khai sau thiết kế cơ sở của dự án đầu tư xây dựng trên địa bàn tỉnh Điện Biên</w:t>
            </w:r>
          </w:p>
        </w:tc>
        <w:tc>
          <w:p/>
          <w:p>
            <w:pPr>
              <w:spacing w:after="0" w:before="0" w:lineRule="auto" w:line="276"/>
              <w:jc w:val="left"/>
            </w:pPr>
            <w:r>
              <w:rPr>
                <w:rFonts w:ascii="Times New Roman" w:hAnsi="Times New Roman" w:cs="Times New Roman" w:eastAsia="Times New Roman"/>
                <w:b w:val="false"/>
                <w:sz w:val="26"/>
              </w:rPr>
              <w:t>10-10-2025</w:t>
            </w:r>
          </w:p>
        </w:tc>
        <w:tc>
          <w:p/>
          <w:p>
            <w:pPr>
              <w:spacing w:after="0" w:before="0" w:lineRule="auto" w:line="276"/>
              <w:jc w:val="left"/>
            </w:pPr>
            <w:r>
              <w:rPr>
                <w:rFonts w:ascii="Times New Roman" w:hAnsi="Times New Roman" w:cs="Times New Roman" w:eastAsia="Times New Roman"/>
                <w:b w:val="false"/>
                <w:sz w:val="26"/>
              </w:rPr>
              <w:t>UBND tỉnh Điện Biên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trình thẩm định phải bảo đảm tính pháp lý, phù hợp với nội dung đề nghị thẩm định. Hồ sơ trình thẩm định được xem là hợp lệ khi bảo đảm các nội dung quy định tại khoản 2 Điều 17 Nghị định số 175/2024/NĐ-CP ngày 30/12/2024 của Chính phủ quy định chi tiết một số điều và biện pháp thi hành Luật Xây dựng về quản lý hoạt động xây dựng, đúng quy cách theo quy định tại Điều 37 Nghị định số 175/2024/NĐ-CP ngày 30/12/2024 của Chính phủ quy định chi tiết một số điều và biện pháp thi hành Luật Xây dựng về quản lý hoạt động xây dựng, được trình bày với ngôn ngữ chính là tiếng Việt và được người đề nghị thẩm định kiểm tra, xác nhận. Phần hồ sơ thiết kế kiến trúc trong hồ sơ thiết kế xây dựng (nếu có) cần tuân thủ quy định theo pháp luật về kiến trúc.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2025-11-18T03:19:40Z</dcterms:created>
  <dc:creator>Apache POI</dc:creator>
</cp:coreProperties>
</file>