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kết hôn nộp hồ sơ tại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Nếu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hợp lệ, công chức tư pháp - hộ tịch kiểm tra, xác minh hồ sơ, nếu hai bên nam, nữ đủ điều kiện kết hôn theo quy định thì báo cáo Chủ tịch Ủy ban nhân dân cấp xã xem xét, quyết định. Trường hợp Chủ tịch Ủy ban nhân dân xã đồng ý giải quyết thì ký 02 Giấy chứng nhận kết hôn; công chức tư pháp - hộ tịch ghi việc kết hôn vào Sổ đăng ký kết hôn, cùng hai bên nam, nữ ký vào Sổ; Hai bên nam, nữ cùng ký vào Giấy chứng nhận kết hôn; Chủ tịch Ủy ban nhân dân tổ chức trao Giấy chứng nhận kết hôn cho hai bên nam, nữ.</w:t>
      </w:r>
    </w:p>
    <w:p>
      <w:pPr>
        <w:spacing w:after="0" w:before="0" w:lineRule="auto" w:line="276"/>
        <w:jc w:val="both"/>
      </w:pPr>
      <w:r>
        <w:rPr>
          <w:rFonts w:ascii="Times New Roman" w:hAnsi="Times New Roman" w:cs="Times New Roman" w:eastAsia="Times New Roman"/>
          <w:b w:val="false"/>
          <w:sz w:val="26"/>
        </w:rPr>
        <w:t>* Lưu ý:
+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
+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Trường hợp cần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Trường hợp cần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Trường hợp cần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láng giềng cấp không quá 06 tháng tính đến ngày nhận hồ sơ, xác nhận công dân nước láng giềng hiện tại là người không có vợ hoặc không có chồng;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công dân Việt Nam.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kết hôn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thường trú tại địa bàn xã ở khu vực biên giới đăng ký kết hôn với công dân của nước láng giềng thường trú tại đơn vị hành chính tương đương cấp xã của Việt Nam tiếp giáp với xã ở khu vực biên giới của Việt Nam nơi công dân Việt Nam thường trú.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2025-12-16T00:45:13Z</dcterms:created>
  <dc:creator>Apache POI</dc:creator>
</cp:coreProperties>
</file>