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tại 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false"/>
          <w:sz w:val="26"/>
        </w:rPr>
        <w:t>- Người tiếp nhận có trách nhiệm kiểm tra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thấy yêu cầu ghi vào Sổ hộ tịch đủ điều kiện, phù hợp quy định pháp luật, Phòng chuyên môn báo cáo Chủ tịch Ủy ban nhân dân cấp xã. Trường hợp Chủ tịch Ủy ban nhân dân đồng ý giải quyết thì ký Trích lục hộ tịch tương ứng cấp cho người yêu cầu; công chức làm công tác hộ tịch ghi nội dung ghi chú vào Sổ hộ tịch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vào Sổ hộ tịch các việc hộ tịch khác.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2025-12-18T01:21:19Z</dcterms:created>
  <dc:creator>Apache POI</dc:creator>
</cp:coreProperties>
</file>