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2.002189.000.00.00.H18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ghi vào Sổ hộ tịch việc kết hôn của công dân Việt Nam đã được giải quyết tại cơ quan có thẩm quyền của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yêu cầu ghi vào Sổ hộ tịch việc kết hôn đã được giải quyết tại cơ quan có thẩm quyền của nước ngoài (sau đây gọi là ghi chú kết hôn) nộp hồ sơ tại Trung tâm Phục vụ hành chính công cấp xã.</w:t>
      </w:r>
    </w:p>
    <w:p>
      <w:pPr>
        <w:spacing w:after="0" w:before="0" w:lineRule="auto" w:line="276"/>
        <w:jc w:val="both"/>
      </w:pPr>
      <w:r>
        <w:rPr>
          <w:rFonts w:ascii="Times New Roman" w:hAnsi="Times New Roman" w:cs="Times New Roman" w:eastAsia="Times New Roman"/>
          <w:b w:val="false"/>
          <w:sz w:val="26"/>
        </w:rPr>
        <w:t>- Người tiếp nhận có trách nhiệm kiểm tra ngay toàn bộ hồ sơ, xác định tính hợp lệ của giấy tờ trong hồ sơ do người yêu cầu nộp, xuất trình; đối chiếu thông tin trong Tờ khai với giấy tờ trong hồ sơ.</w:t>
      </w:r>
    </w:p>
    <w:p>
      <w:pPr>
        <w:spacing w:after="0" w:before="0" w:lineRule="auto" w:line="276"/>
        <w:jc w:val="both"/>
      </w:pPr>
      <w:r>
        <w:rPr>
          <w:rFonts w:ascii="Times New Roman" w:hAnsi="Times New Roman" w:cs="Times New Roman" w:eastAsia="Times New Roman"/>
          <w:b w:val="false"/>
          <w:sz w:val="26"/>
        </w:rPr>
        <w:t>- 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 Hồ sơ sau khi đã được hướng dẫn theo quy định mà không được bổ sung đầy đủ, hoàn thiện thì người tiếp nhận từ chối tiếp nhận hồ sơ. Việc từ chối tiếp nhận hồ sơ phải được thể hiện bằng văn bản, trong đó ghi rõ lý do từ chối, người tiếp nhận ký, ghi rõ họ, chữ đệm, tên.</w:t>
      </w:r>
    </w:p>
    <w:p>
      <w:pPr>
        <w:spacing w:after="0" w:before="0" w:lineRule="auto" w:line="276"/>
        <w:jc w:val="both"/>
      </w:pPr>
      <w:r>
        <w:rPr>
          <w:rFonts w:ascii="Times New Roman" w:hAnsi="Times New Roman" w:cs="Times New Roman" w:eastAsia="Times New Roman"/>
          <w:b w:val="false"/>
          <w:sz w:val="26"/>
        </w:rPr>
        <w:t>- Nếu thấy yêu cầu ghi chú kết hôn đủ điều kiện, không thuộc trường hợp từ chối ghi vào sổ việc kết hôn theo quy định, Phòng chuyên môn báo cáo Chủ tịch Ủy ban nhân dân cấp xã xem xét, quyết định. Trường hợp Chủ tịch Ủy ban nhân dân đồng ý giải quyết thì ký Trích lục ghi chú kết hôn cấp cho người yêu cầu; công chức làm công tác hộ tịch ghi vào Sổ đăng ký kết hôn.</w:t>
      </w:r>
    </w:p>
    <w:p>
      <w:pPr>
        <w:shd w:val="clear" w:color="auto" w:fill="F2F6F9"/>
        <w:spacing w:after="0" w:before="120" w:lineRule="auto" w:line="276"/>
        <w:jc w:val="both"/>
      </w:pPr>
      <w:r>
        <w:rPr>
          <w:rFonts w:ascii="Times New Roman" w:hAnsi="Times New Roman" w:cs="Times New Roman" w:eastAsia="Times New Roman"/>
          <w:b w:val="true"/>
          <w:sz w:val="26"/>
        </w:rPr>
        <w:t xml:space="preserve">* Yêu cầu ghi chú kết hôn bị từ chối trong các trường hợp sau: </w:t>
      </w:r>
    </w:p>
    <w:p>
      <w:pPr>
        <w:spacing w:after="0" w:before="0" w:lineRule="auto" w:line="276"/>
        <w:jc w:val="both"/>
      </w:pPr>
      <w:r>
        <w:rPr>
          <w:rFonts w:ascii="Times New Roman" w:hAnsi="Times New Roman" w:cs="Times New Roman" w:eastAsia="Times New Roman"/>
          <w:b w:val="false"/>
          <w:sz w:val="26"/>
        </w:rPr>
        <w:t>- Việc kết hôn vi phạm điều cấm theo quy định của Luật hôn nhân và gia đình.</w:t>
      </w:r>
    </w:p>
    <w:p>
      <w:pPr>
        <w:spacing w:after="0" w:before="0" w:lineRule="auto" w:line="276"/>
        <w:jc w:val="both"/>
      </w:pPr>
      <w:r>
        <w:rPr>
          <w:rFonts w:ascii="Times New Roman" w:hAnsi="Times New Roman" w:cs="Times New Roman" w:eastAsia="Times New Roman"/>
          <w:b w:val="false"/>
          <w:sz w:val="26"/>
        </w:rPr>
        <w:t>- Công dân Việt Nam kết hôn với người nước ngoài tại cơ quan đại diện ngoại giao, cơ quan đại diện lãnh sự nước ngoài tại Việt Nam.</w:t>
      </w:r>
    </w:p>
    <w:p>
      <w:pPr>
        <w:shd w:val="clear" w:color="auto" w:fill="F2F6F9"/>
        <w:spacing w:after="0" w:before="120" w:lineRule="auto" w:line="276"/>
        <w:jc w:val="both"/>
      </w:pPr>
      <w:r>
        <w:rPr>
          <w:rFonts w:ascii="Times New Roman" w:hAnsi="Times New Roman" w:cs="Times New Roman" w:eastAsia="Times New Roman"/>
          <w:b w:val="true"/>
          <w:sz w:val="26"/>
        </w:rPr>
        <w:t>* Lưu ý:</w:t>
      </w:r>
    </w:p>
    <w:p>
      <w:pPr>
        <w:spacing w:after="0" w:before="0" w:lineRule="auto" w:line="276"/>
        <w:jc w:val="both"/>
      </w:pPr>
      <w:r>
        <w:rPr>
          <w:rFonts w:ascii="Times New Roman" w:hAnsi="Times New Roman" w:cs="Times New Roman" w:eastAsia="Times New Roman"/>
          <w:b w:val="false"/>
          <w:sz w:val="26"/>
        </w:rPr>
        <w:t>+ 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 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trừ trường hợp được miễn theo điều ước quốc tế mà Việt Nam là thành viên; giấy tờ bằng tiếng nước ngoài phải được dịch ra tiếng Việt và công chứng bản dịch hoặc chứng thực chữ ký người dịch theo quy định của pháp luật.</w:t>
      </w:r>
    </w:p>
    <w:p>
      <w:pPr>
        <w:spacing w:after="0" w:before="0" w:lineRule="auto" w:line="276"/>
        <w:jc w:val="both"/>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p>
            <w:pPr>
              <w:spacing w:after="0" w:before="0" w:lineRule="auto" w:line="276"/>
              <w:jc w:val="left"/>
            </w:pPr>
            <w:r>
              <w:rPr>
                <w:rFonts w:ascii="Times New Roman" w:hAnsi="Times New Roman" w:cs="Times New Roman" w:eastAsia="Times New Roman"/>
                <w:b w:val="false"/>
                <w:sz w:val="26"/>
              </w:rPr>
              <w:t xml:space="preserve">Phí : Phí cấp bản sao Trích lục ghi chú kết hôn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75.000 đồng/ trường hợp </w:t>
              <w:t xml:space="preserve">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08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ghi chú kết hôn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br/>
              <w:t>File đính kèm: dongdau21451_19-07-2025-10-37-10_04NQQPPLK21_000119.07.2025_09h30p09_signed.pdf</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08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ghi chú kết hôn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75.000 đồng/ trường hợp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08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tờ chứng nhận việc kết hôn do cơ quan có thẩm quyền của nước ngoài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Nếu công dân Việt Nam đã ly hôn hoặc hủy việc kết hôn tại cơ quan có thẩm quyền nước ngoài thì phải nộp Trích lục về việc đã ghi vào Sổ hộ tịch việc ly hôn hoặc hủy việc kết hôn (Trích lục ghi chú ly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ghi chú kết hôn.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ghi chú kết hôn. Trường hợp các thông tin cá nhân trong các giấy tờ này đã có trong CSDLQGVDC,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ghi chú kết hôn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ghi chú kết hôn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có yêu cầu ghi chú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ghi chú kết hôn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8. TK ghi chú kết hôn.doc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việc kết hôn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8 Ghi vào sổ hộ tịch việc kết hôn.docx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ghi chú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Luật số 60/2014/QH13 </w:t>
            </w:r>
          </w:p>
        </w:tc>
        <w:tc>
          <w:p/>
          <w:p>
            <w:pPr>
              <w:spacing w:after="0" w:before="0" w:lineRule="auto" w:line="276"/>
              <w:jc w:val="left"/>
            </w:pPr>
            <w:r>
              <w:rPr>
                <w:rFonts w:ascii="Times New Roman" w:hAnsi="Times New Roman" w:cs="Times New Roman" w:eastAsia="Times New Roman"/>
                <w:b w:val="false"/>
                <w:sz w:val="26"/>
              </w:rPr>
              <w:t>Hộ tịch</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Nghị định số123/2015/NĐ-CP </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Luật số 52/2014/QH13 </w:t>
            </w:r>
          </w:p>
        </w:tc>
        <w:tc>
          <w:p/>
          <w:p>
            <w:pPr>
              <w:spacing w:after="0" w:before="0" w:lineRule="auto" w:line="276"/>
              <w:jc w:val="left"/>
            </w:pPr>
            <w:r>
              <w:rPr>
                <w:rFonts w:ascii="Times New Roman" w:hAnsi="Times New Roman" w:cs="Times New Roman" w:eastAsia="Times New Roman"/>
                <w:b w:val="false"/>
                <w:sz w:val="26"/>
              </w:rPr>
              <w:t>Hôn nhân và gia đình</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kết hôn giữa công dân Việt Nam với nhau hoặc với người nước ngoài đã được giải quyết tại cơ quan có thẩm quyền của nước ngoài ở nước ngoài được ghi vào Sổ hộ tịch nếu tại thời điểm kết hôn, các bên đáp ứng đủ điều kiện kết hôn và không vi phạm điều cấm theo quy định của Luật Hôn nhân và gia đình Việt Nam.
- Nếu vào thời điểm đăng ký tại cơ quan có thẩm quyền nước ngoài, việc kết hôn không đáp ứng điều kiện kết hôn, nhưng không vi phạm điều cấm theo quy định của Luật Hôn nhân và gia đình, nhưng vào thời điểm yêu cầu ghi vào Sổ hộ tịch việc kết hôn, hậu quả đã được khắc phục hoặc việc ghi chú kết hôn là nhằm bảo vệ quyền lợi của công dân Việt Nam và trẻ em, thì việc kết hôn cũng được ghi vào Sổ hộ tịch.
* Yêu cầu ghi chú kết hôn bị từ chối trong các trường hợp sau: 
- Việc kết hôn vi phạm điều cấm theo quy định của Luật Hôn nhân và gia đình.
- Công dân Việt Nam kết hôn với người nước ngoài tại cơ quan đại diện ngoại giao, cơ quan đại diện lãnh sự nước ngoài tại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2025-12-15T00:46:05Z</dcterms:created>
  <dc:creator>Apache POI</dc:creator>
</cp:coreProperties>
</file>