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2.001396.000.00.00.H18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1284/QĐ-UBND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Trợ cấp hàng tháng đối với thanh niên xung phong đã hoàn thành nhiệm vụ trong kháng chiến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 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Đối tượng thanh niên xung phong hoặc thân nhân của thanh niên xung phong (trường hợp thanh niên xung phong đã từ trần) thực hiện nộp 01 bộ hồ sơ theo quy định tại Điều 12 Thông tư số 09/2025/TT-BNV ngày 18/6/2025 của Bộ trưởng Bộ Nội vụ quy định về phân định thẩm quyền và phân cấp thực hiện nhiệm vụ quản lý nhà nước lĩnh vực nội vụ (sau đây gọi tắt là Thông tư số 09/2025/TT-BNV) cho Trung tâm Phục vụ hành chính công cấp xã  nơi đăng ký hộ khẩu thường trú.
Bước 2: Trong thời hạn 05 ngày làm việc, Ủy ban nhân dân cấp xã có trách nhiệm: 
(i) Tổ chức hội nghị và lập biên bản xác nhận hồ sơ xét hưởng chế độ trợ cấp theo Mẫu số 08 Phụ lục I ban hành kèm theo Thông tư số 09/2025/TT-BNV. Thành phần hội nghị gồm đại diện lãnh đạo cấp xã (Ủy ban nhân dân, Đảng ủy, Mặt trận Tổ quốc, Hội Cựu thanh niên xung phong hoặc Ban liên lạc Cựu thanh niên xung phong), Trưởng thôn có đối tượng thanh niên xung phong đề nghị giải quyết chế độ trợ cấp; 
(ii) Tổng hợp hồ sơ xét hưởng chế độ trợ cấp đối với thanh niên xung phong báo cáo Ủy ban nhân dân cấp tỉnh thông qua Sở Nội vụ.
Bước 3: Trong thời hạn 10 ngày, kể từ ngày nhận đủ hồ sơ theo quy định (theo từng đợt), Ủy ban nhân dân cấp tỉnh có trách nhiệm: 
(i) Hoàn thành xét duyệt, thẩm định, tổng hợp, ra quyết định hưởng chế độ trợ cấp theo Mẫu số 11 Phụ lục I ban hành kèm theo Thông tư số 09/2025/TT-BNV, kèm theo biểu tổng hợp danh sách thanh niên xung phong đề nghị hưởng chế độ trợ cấp lập theo Mẫu số 14 Phụ lục I ban hành kèm theo Thông tư số 09/2025/TT-BNV; 
Đối với trường hợp thanh niên xung phong không còn một trong các giấy tờ chứng minh quy định tại điểm a, b khoản 1 Điều 12 Thông tư số 09/2025/TT-BNV, tổng hợp, chuyển danh sách đối tượng đến Hội Cựu thanh niên xung phong cấp tỉnh để kiểm tra, xác nhận, tham gia ý kiến trước khi quyết định;
(ii) Tổ chức thực hiện việc chi trả chế độ trợ cấp hàng tháng cho các đối tượng được hưởng theo quy định hiện hành; 
(iii) Lưu giữ hồ sơ đối tượng được hưởng chế độ trợ cấp theo quy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15 ngày làm việc kể từ khi nhận được hồ sơ đầy đủ,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15 ngày làm việc kể từ khi nhận được hồ sơ đầy đủ,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15 ngày làm việc kể từ khi nhận được hồ sơ đầy đủ,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Một trong các giấy tờ sau đây chứng minh là thanh niên xung phong (là bản chính hoặc bản sao có chứng thực của Ủy ban nhân dân cấp xã): - Lý lịch cán bộ hoặc lý lịch đảng viên khai trước ngày 24 tháng 9 năm 1999; - Giấy tờ do cơ quan có thẩm quyền cấp trước khi thanh niên xung phong trở về địa phương như: Giấy chứng nhận hoàn thành nhiệm vụ của đơn vị quản lý thanh niên xung phong; Giấy chuyển thương, chuyển viện, phiếu sức khoẻ; Giấy khen trong thời gian tham gia lực lượng thanh niên xung phong; Giấy chứng nhận tham gia thanh niên xung phong; Giấy điều động công tác, bổ nhiệm, giao nhiệm vụ; - Trường hợp thanh niên xung phong không còn một trong các giấy tờ quy định tại điểm a và b khoản 1 Điều 12 Thông tư số 09/2025/TT-BNV thì phải nộp bản khai có chứng thực của Ủy ban nhân dân cấp xã nơi đăng ký hộ khẩu thường trú trước khi tham gia thanh niên xung phong (bản chính). Ủy ban nhân dân cấp xã có trách nhiệm xác nhận bản khai đối với đối tượng là người địa phương đi thanh niên xung phong nhưng hiện đang đăng ký hộ khẩu thường trú ở địa phương khác (nội dung xác nhận theo Mẫu số 08 Phụ lục I ban hành kèm theo điểm a và b khoản 1 Điều 12 Thông tư số 09/2025/TT-BNV).</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Bản khai cá nhân đề nghị hưởng trợ cấp hàng tháng lập theo Mẫu số 07 Phụ lục I ban hành kèm theo Thông tư số 09/2025/TT-BNV</w:t>
            </w:r>
          </w:p>
        </w:tc>
        <w:tc>
          <w:p/>
          <w:p>
            <w:pPr>
              <w:spacing w:after="0" w:before="0" w:lineRule="auto" w:line="276"/>
              <w:jc w:val="left"/>
            </w:pPr>
            <w:r>
              <w:rPr>
                <w:rFonts w:ascii="Times New Roman" w:hAnsi="Times New Roman" w:cs="Times New Roman" w:eastAsia="Times New Roman"/>
                <w:b w:val="false"/>
                <w:sz w:val="26"/>
              </w:rPr>
              <w:t>Mauso07_TT09_2025.docx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Giấy chứng nhận sức khỏe của Bệnh viện hoặc Trung tâm y tế khu vực trở lên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Sở Nội vụ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về việc giải quyết chế độ trợ cấp hàng tháng đối với thanh niên xung phong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04/2012/UBTVQH13</w:t>
            </w:r>
          </w:p>
        </w:tc>
        <w:tc>
          <w:p/>
          <w:p>
            <w:pPr>
              <w:spacing w:after="0" w:before="0" w:lineRule="auto" w:line="276"/>
              <w:jc w:val="left"/>
            </w:pPr>
            <w:r>
              <w:rPr>
                <w:rFonts w:ascii="Times New Roman" w:hAnsi="Times New Roman" w:cs="Times New Roman" w:eastAsia="Times New Roman"/>
                <w:b w:val="false"/>
                <w:sz w:val="26"/>
              </w:rPr>
              <w:t>Pháp lệnh 04/2012/UBTVQH13 - Sửa đổi, bổ sung một số điều của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16-07-2012</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31/2013/NĐ-CP</w:t>
            </w:r>
          </w:p>
        </w:tc>
        <w:tc>
          <w:p/>
          <w:p>
            <w:pPr>
              <w:spacing w:after="0" w:before="0" w:lineRule="auto" w:line="276"/>
              <w:jc w:val="left"/>
            </w:pPr>
            <w:r>
              <w:rPr>
                <w:rFonts w:ascii="Times New Roman" w:hAnsi="Times New Roman" w:cs="Times New Roman" w:eastAsia="Times New Roman"/>
                <w:b w:val="false"/>
                <w:sz w:val="26"/>
              </w:rPr>
              <w:t>Nghị định 31/2013/NĐ-CP - Hướng dẫn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09-04-2013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40/2011/QĐ-TTg</w:t>
            </w:r>
          </w:p>
        </w:tc>
        <w:tc>
          <w:p/>
          <w:p>
            <w:pPr>
              <w:spacing w:after="0" w:before="0" w:lineRule="auto" w:line="276"/>
              <w:jc w:val="left"/>
            </w:pPr>
            <w:r>
              <w:rPr>
                <w:rFonts w:ascii="Times New Roman" w:hAnsi="Times New Roman" w:cs="Times New Roman" w:eastAsia="Times New Roman"/>
                <w:b w:val="false"/>
                <w:sz w:val="26"/>
              </w:rPr>
              <w:t>Quyết định 40/2011/QĐ-TTg - Quy định về chế độ đối với thanh niên xung phong đã hoàn thành nhiệm vụ trong kháng chiến</w:t>
            </w:r>
          </w:p>
        </w:tc>
        <w:tc>
          <w:p/>
          <w:p>
            <w:pPr>
              <w:spacing w:after="0" w:before="0" w:lineRule="auto" w:line="276"/>
              <w:jc w:val="left"/>
            </w:pPr>
            <w:r>
              <w:rPr>
                <w:rFonts w:ascii="Times New Roman" w:hAnsi="Times New Roman" w:cs="Times New Roman" w:eastAsia="Times New Roman"/>
                <w:b w:val="false"/>
                <w:sz w:val="26"/>
              </w:rPr>
              <w:t>27-07-2011</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08/2012/TTLT-BLĐTBXH-BNV-BTC</w:t>
            </w:r>
          </w:p>
        </w:tc>
        <w:tc>
          <w:p/>
          <w:p>
            <w:pPr>
              <w:spacing w:after="0" w:before="0" w:lineRule="auto" w:line="276"/>
              <w:jc w:val="left"/>
            </w:pPr>
            <w:r>
              <w:rPr>
                <w:rFonts w:ascii="Times New Roman" w:hAnsi="Times New Roman" w:cs="Times New Roman" w:eastAsia="Times New Roman"/>
                <w:b w:val="false"/>
                <w:sz w:val="26"/>
              </w:rPr>
              <w:t>Thông tư liên tịch 08/2012/TTLT-BLĐTBXH-BNV-BTC - Hướng dẫn thực hiện chế độ trợ cấp đối với thanh niên xung phong đã hoàn thành nhiệm vụ trong kháng chiến theo Quyết định số 40/2011/QĐ-TTg ngày 27 tháng 7 năm 2011 của Thủ tướng Chính phủ</w:t>
            </w:r>
          </w:p>
        </w:tc>
        <w:tc>
          <w:p/>
          <w:p>
            <w:pPr>
              <w:spacing w:after="0" w:before="0" w:lineRule="auto" w:line="276"/>
              <w:jc w:val="left"/>
            </w:pPr>
            <w:r>
              <w:rPr>
                <w:rFonts w:ascii="Times New Roman" w:hAnsi="Times New Roman" w:cs="Times New Roman" w:eastAsia="Times New Roman"/>
                <w:b w:val="false"/>
                <w:sz w:val="26"/>
              </w:rPr>
              <w:t>16-04-2012</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190/2025/NQ-QH15</w:t>
            </w:r>
          </w:p>
        </w:tc>
        <w:tc>
          <w:p/>
          <w:p>
            <w:pPr>
              <w:spacing w:after="0" w:before="0" w:lineRule="auto" w:line="276"/>
              <w:jc w:val="left"/>
            </w:pPr>
            <w:r>
              <w:rPr>
                <w:rFonts w:ascii="Times New Roman" w:hAnsi="Times New Roman" w:cs="Times New Roman" w:eastAsia="Times New Roman"/>
                <w:b w:val="false"/>
                <w:sz w:val="26"/>
              </w:rPr>
              <w:t>Nghị quyết số 190/2025/QH15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08/2023/TT-BLĐTBXH</w:t>
            </w:r>
          </w:p>
        </w:tc>
        <w:tc>
          <w:p/>
          <w:p>
            <w:pPr>
              <w:spacing w:after="0" w:before="0" w:lineRule="auto" w:line="276"/>
              <w:jc w:val="left"/>
            </w:pPr>
            <w:r>
              <w:rPr>
                <w:rFonts w:ascii="Times New Roman" w:hAnsi="Times New Roman" w:cs="Times New Roman" w:eastAsia="Times New Roman"/>
                <w:b w:val="false"/>
                <w:sz w:val="26"/>
              </w:rPr>
              <w:t>Sửa đổi, bổ sung, bãi bỏ một số điều của các Thông tư, Thông tư liên tịch có quy định liên quan đến việc nộp, xuất trình sổ hộ khẩu giấy, sổ tạm trú giấy hoặc giấy tờ có yêu cầu xác nhận nơi cư trú khi thực hiện thủ tục hành chính thuộc lĩnh vực quản lý nhà nước của Bộ Lao động - Thương binh và Xã hội.</w:t>
            </w:r>
          </w:p>
        </w:tc>
        <w:tc>
          <w:p/>
          <w:p>
            <w:pPr>
              <w:spacing w:after="0" w:before="0" w:lineRule="auto" w:line="276"/>
              <w:jc w:val="left"/>
            </w:pPr>
            <w:r>
              <w:rPr>
                <w:rFonts w:ascii="Times New Roman" w:hAnsi="Times New Roman" w:cs="Times New Roman" w:eastAsia="Times New Roman"/>
                <w:b w:val="false"/>
                <w:sz w:val="26"/>
              </w:rPr>
              <w:t>29-08-2023</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Nghị định số 25/2025/NĐ-CP</w:t>
            </w:r>
          </w:p>
        </w:tc>
        <w:tc>
          <w:p/>
          <w:p>
            <w:pPr>
              <w:spacing w:after="0" w:before="0" w:lineRule="auto" w:line="276"/>
              <w:jc w:val="left"/>
            </w:pPr>
            <w:r>
              <w:rPr>
                <w:rFonts w:ascii="Times New Roman" w:hAnsi="Times New Roman" w:cs="Times New Roman" w:eastAsia="Times New Roman"/>
                <w:b w:val="false"/>
                <w:sz w:val="26"/>
              </w:rPr>
              <w:t>Nghị định số 25/2025/NĐ-CP ngày 21 tháng 02 năm 2025 của Chính phủ quy định chức năng, nhiệm vụ, quyền hạn và cơ cấu tổ chức của Bộ Nội vụ</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129/2025/NĐ-CP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Nội vụ</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2025-12-13T03:56:04Z</dcterms:created>
  <dc:creator>Apache POI</dc:creator>
</cp:coreProperties>
</file>