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có nhu cầu vay vốn từ Quỹ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xã nơi thực hiện dự án phê duyệt; Hồ sơ nộp qua Trung tâm Phục vụ hành chính công cấp xã
-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Người lao động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w:t>
            </w:r>
          </w:p>
        </w:tc>
        <w:tc>
          <w:p/>
          <w:p>
            <w:pPr>
              <w:spacing w:after="0" w:before="0" w:lineRule="auto" w:line="276"/>
              <w:jc w:val="left"/>
            </w:pPr>
            <w:r>
              <w:rPr>
                <w:rFonts w:ascii="Times New Roman" w:hAnsi="Times New Roman" w:cs="Times New Roman" w:eastAsia="Times New Roman"/>
                <w:b w:val="false"/>
                <w:sz w:val="26"/>
              </w:rPr>
              <w:t>Mauso01_ND104_2022.docx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Ngân hàng Chính sách xã hội địa phương (Chi nhánh Ngân hàng Chính sách xã hội hoặc Phòng Giao dịch Ngân hàng Chính sách xã hội);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2025-12-14T03:28:58Z</dcterms:created>
  <dc:creator>Apache POI</dc:creator>
</cp:coreProperties>
</file>