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sinh viên theo chế độ cử tuyển:</w:t>
      </w:r>
    </w:p>
    <w:p>
      <w:pPr>
        <w:spacing w:after="0" w:before="0" w:lineRule="auto" w:line="276"/>
        <w:jc w:val="both"/>
      </w:pPr>
      <w:r>
        <w:rPr>
          <w:rFonts w:ascii="Times New Roman" w:hAnsi="Times New Roman" w:cs="Times New Roman" w:eastAsia="Times New Roman"/>
          <w:b w:val="false"/>
          <w:sz w:val="26"/>
        </w:rPr>
        <w:t>a) Trong thời hạn 15 ngày kể từ ngày nhập học, sinh viên nộp hồ sơ trực tiếp hoặc qua đường bưu điện hoặc nộp trực tuyến theo quy định về Trung tâm Phục vụ hành chính công tỉnh Điện Biên nơi đăng ký hộ khẩu thường trú.</w:t>
      </w:r>
    </w:p>
    <w:p>
      <w:pPr>
        <w:spacing w:after="0" w:before="0" w:lineRule="auto" w:line="276"/>
        <w:jc w:val="both"/>
      </w:pPr>
      <w:r>
        <w:rPr>
          <w:rFonts w:ascii="Times New Roman" w:hAnsi="Times New Roman" w:cs="Times New Roman" w:eastAsia="Times New Roman"/>
          <w:b w:val="false"/>
          <w:sz w:val="26"/>
        </w:rPr>
        <w:t>b) Sở Nội vụ, Sở Giáo dục và Đào tạo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c) Trường hợp hồ sơ không bảo đảm đúng quy định, Sở Nội vụ, Sở Giáo dục và Đào tạo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d) Sinh viên nhận học bổng chính sách trực tiếp tại Sở Nội vụ, Sở Giáo dục và Đào tạo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a)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b)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Học sinh nhận học bổng chính sách tại cơ sở giáo dục đang theo học theo định kỳ xét, cấp học bổng chính sách theo quy định.</w:t>
      </w:r>
    </w:p>
    <w:p>
      <w:pPr>
        <w:shd w:val="clear" w:color="auto" w:fill="F2F6F9"/>
        <w:spacing w:after="0" w:before="120" w:lineRule="auto" w:line="276"/>
        <w:jc w:val="both"/>
      </w:pPr>
      <w:r>
        <w:rPr>
          <w:rFonts w:ascii="Times New Roman" w:hAnsi="Times New Roman" w:cs="Times New Roman" w:eastAsia="Times New Roman"/>
          <w:b w:val="true"/>
          <w:sz w:val="26"/>
        </w:rPr>
        <w:t>3. 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a)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b)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152/2007/QĐ-TTg</w:t>
            </w:r>
          </w:p>
        </w:tc>
        <w:tc>
          <w:p/>
          <w:p>
            <w:pPr>
              <w:spacing w:after="0" w:before="0" w:lineRule="auto" w:line="276"/>
              <w:jc w:val="left"/>
            </w:pPr>
            <w:r>
              <w:rPr>
                <w:rFonts w:ascii="Times New Roman" w:hAnsi="Times New Roman" w:cs="Times New Roman" w:eastAsia="Times New Roman"/>
                <w:b w:val="false"/>
                <w:sz w:val="26"/>
              </w:rPr>
              <w:t>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14-09-2007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23/2008/TTLT/BGDĐT-BLĐTBXH-BTC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28-04-2008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14/2016/TTLT-BGDĐT-BLĐTBXH-BTC</w:t>
            </w:r>
          </w:p>
        </w:tc>
        <w:tc>
          <w:p/>
          <w:p>
            <w:pPr>
              <w:spacing w:after="0" w:before="0" w:lineRule="auto" w:line="276"/>
              <w:jc w:val="left"/>
            </w:pPr>
            <w:r>
              <w:rPr>
                <w:rFonts w:ascii="Times New Roman" w:hAnsi="Times New Roman" w:cs="Times New Roman" w:eastAsia="Times New Roman"/>
                <w:b w:val="false"/>
                <w:sz w:val="26"/>
              </w:rPr>
              <w:t>Sửa đổi, bổ sung mục III của Thông tư liên tịch số 23/2008/TTLT-BGDĐT-BLĐTBXH-BTC ngày 28/4/2008 của liên bộ Giáo dục và Đào tạo, Lao động–Thương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05-05-2016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2025-12-13T02:57:14Z</dcterms:created>
  <dc:creator>Apache POI</dc:creator>
</cp:coreProperties>
</file>